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tblInd w:w="-567" w:type="dxa"/>
        <w:tblLayout w:type="fixed"/>
        <w:tblCellMar>
          <w:left w:w="120" w:type="dxa"/>
          <w:right w:w="120" w:type="dxa"/>
        </w:tblCellMar>
        <w:tblLook w:val="04A0" w:firstRow="1" w:lastRow="0" w:firstColumn="1" w:lastColumn="0" w:noHBand="0" w:noVBand="1"/>
      </w:tblPr>
      <w:tblGrid>
        <w:gridCol w:w="5100"/>
        <w:gridCol w:w="5100"/>
      </w:tblGrid>
      <w:tr w:rsidR="00250DC5" w14:paraId="3D4ECE05" w14:textId="77777777" w:rsidTr="00250DC5">
        <w:tc>
          <w:tcPr>
            <w:tcW w:w="5103" w:type="dxa"/>
            <w:tcBorders>
              <w:top w:val="single" w:sz="6" w:space="0" w:color="FFFFFF"/>
              <w:left w:val="single" w:sz="6" w:space="0" w:color="FFFFFF"/>
              <w:bottom w:val="single" w:sz="6" w:space="0" w:color="FFFFFF"/>
              <w:right w:val="single" w:sz="6" w:space="0" w:color="FFFFFF"/>
            </w:tcBorders>
          </w:tcPr>
          <w:p w14:paraId="0260A88E" w14:textId="77777777" w:rsidR="00250DC5" w:rsidRDefault="00250DC5">
            <w:pPr>
              <w:pStyle w:val="Titre3"/>
              <w:spacing w:line="256" w:lineRule="auto"/>
              <w:jc w:val="center"/>
            </w:pPr>
            <w:r>
              <w:t>TRIBUNAL ADMINISTRATIF</w:t>
            </w:r>
          </w:p>
          <w:p w14:paraId="512F02FC" w14:textId="77777777" w:rsidR="00250DC5" w:rsidRDefault="00250DC5">
            <w:pPr>
              <w:spacing w:line="256" w:lineRule="auto"/>
              <w:ind w:right="-102"/>
              <w:jc w:val="center"/>
              <w:rPr>
                <w:b/>
                <w:bCs/>
              </w:rPr>
            </w:pPr>
            <w:r>
              <w:rPr>
                <w:b/>
                <w:bCs/>
              </w:rPr>
              <w:t>DE LA REUNION</w:t>
            </w:r>
          </w:p>
          <w:p w14:paraId="13926E9E" w14:textId="77777777" w:rsidR="00250DC5" w:rsidRDefault="00250DC5">
            <w:pPr>
              <w:spacing w:line="256" w:lineRule="auto"/>
              <w:ind w:left="306" w:right="-104" w:hanging="220"/>
              <w:jc w:val="center"/>
              <w:rPr>
                <w:b/>
                <w:bCs/>
              </w:rPr>
            </w:pPr>
          </w:p>
          <w:p w14:paraId="73AA718C" w14:textId="6147B575" w:rsidR="00250DC5" w:rsidRDefault="00250DC5">
            <w:pPr>
              <w:spacing w:line="256" w:lineRule="auto"/>
              <w:ind w:left="306" w:right="-104" w:hanging="220"/>
              <w:rPr>
                <w:b/>
                <w:bCs/>
              </w:rPr>
            </w:pPr>
          </w:p>
          <w:p w14:paraId="17092272" w14:textId="77777777" w:rsidR="00317583" w:rsidRDefault="00317583">
            <w:pPr>
              <w:spacing w:line="256" w:lineRule="auto"/>
              <w:ind w:left="306" w:right="-104" w:hanging="220"/>
              <w:rPr>
                <w:b/>
                <w:bCs/>
              </w:rPr>
            </w:pPr>
          </w:p>
          <w:p w14:paraId="6CD2F301" w14:textId="68B3F5C1" w:rsidR="00250DC5" w:rsidRDefault="00250DC5">
            <w:pPr>
              <w:spacing w:line="256" w:lineRule="auto"/>
              <w:ind w:left="306" w:right="-104" w:hanging="220"/>
            </w:pPr>
            <w:bookmarkStart w:id="0" w:name="finnumaff"/>
            <w:bookmarkStart w:id="1" w:name="debnumaff"/>
            <w:bookmarkEnd w:id="0"/>
            <w:bookmarkEnd w:id="1"/>
            <w:r>
              <w:rPr>
                <w:b/>
                <w:bCs/>
              </w:rPr>
              <w:t>N°</w:t>
            </w:r>
            <w:r w:rsidR="0025199B">
              <w:rPr>
                <w:b/>
                <w:bCs/>
              </w:rPr>
              <w:t xml:space="preserve"> </w:t>
            </w:r>
            <w:r>
              <w:rPr>
                <w:b/>
                <w:bCs/>
              </w:rPr>
              <w:t>1900303</w:t>
            </w:r>
          </w:p>
          <w:p w14:paraId="73C163F9" w14:textId="77777777" w:rsidR="00250DC5" w:rsidRDefault="00250DC5">
            <w:pPr>
              <w:spacing w:line="256" w:lineRule="auto"/>
              <w:ind w:left="306" w:right="-104" w:hanging="220"/>
            </w:pPr>
            <w:r>
              <w:t>___________</w:t>
            </w:r>
          </w:p>
          <w:p w14:paraId="5D2535FA" w14:textId="77777777" w:rsidR="00250DC5" w:rsidRDefault="00250DC5">
            <w:pPr>
              <w:spacing w:line="256" w:lineRule="auto"/>
              <w:ind w:left="306" w:right="-104" w:hanging="220"/>
            </w:pPr>
            <w:bookmarkStart w:id="2" w:name="finreq"/>
            <w:bookmarkStart w:id="3" w:name="debreq"/>
            <w:bookmarkStart w:id="4" w:name="dessusdebreq"/>
            <w:bookmarkEnd w:id="2"/>
            <w:bookmarkEnd w:id="3"/>
            <w:bookmarkEnd w:id="4"/>
          </w:p>
          <w:p w14:paraId="77948EA9" w14:textId="77777777" w:rsidR="00250DC5" w:rsidRDefault="00250DC5">
            <w:pPr>
              <w:spacing w:line="256" w:lineRule="auto"/>
              <w:ind w:left="306" w:right="-104" w:hanging="220"/>
            </w:pPr>
            <w:r>
              <w:t xml:space="preserve">SAS VINCI CONSTRUCTION </w:t>
            </w:r>
          </w:p>
          <w:p w14:paraId="1931D73E" w14:textId="77777777" w:rsidR="00250DC5" w:rsidRDefault="00250DC5">
            <w:pPr>
              <w:spacing w:line="256" w:lineRule="auto"/>
              <w:ind w:left="306" w:right="-104" w:hanging="220"/>
            </w:pPr>
            <w:r>
              <w:t>GRANDS PROJETS</w:t>
            </w:r>
          </w:p>
          <w:p w14:paraId="281B2417" w14:textId="77777777" w:rsidR="00250DC5" w:rsidRDefault="00250DC5">
            <w:pPr>
              <w:spacing w:line="256" w:lineRule="auto"/>
              <w:ind w:left="306" w:right="-104" w:hanging="220"/>
            </w:pPr>
            <w:r>
              <w:t>SA BOUYGUES TRAVAUX PUBLICS</w:t>
            </w:r>
          </w:p>
          <w:p w14:paraId="34445388" w14:textId="77777777" w:rsidR="00250DC5" w:rsidRDefault="00250DC5">
            <w:pPr>
              <w:spacing w:line="256" w:lineRule="auto"/>
              <w:ind w:left="306" w:right="-104" w:hanging="220"/>
            </w:pPr>
            <w:r>
              <w:t>SAS DODIN CAMPENON BERNARD</w:t>
            </w:r>
          </w:p>
          <w:p w14:paraId="3C4565B1" w14:textId="77777777" w:rsidR="00250DC5" w:rsidRDefault="00250DC5">
            <w:pPr>
              <w:spacing w:line="256" w:lineRule="auto"/>
              <w:ind w:left="306" w:right="-104" w:hanging="220"/>
            </w:pPr>
            <w:r>
              <w:t>SAS DEMATHIEU BARD CONSTRUCTION</w:t>
            </w:r>
          </w:p>
          <w:p w14:paraId="4D5B169C" w14:textId="77777777" w:rsidR="00250DC5" w:rsidRDefault="00250DC5">
            <w:pPr>
              <w:spacing w:line="256" w:lineRule="auto"/>
              <w:ind w:left="306" w:right="-104" w:hanging="220"/>
            </w:pPr>
            <w:r>
              <w:t>___________</w:t>
            </w:r>
          </w:p>
          <w:p w14:paraId="3A7F3A4F" w14:textId="77777777" w:rsidR="00250DC5" w:rsidRDefault="00250DC5">
            <w:pPr>
              <w:spacing w:line="256" w:lineRule="auto"/>
              <w:ind w:left="306" w:right="-104" w:hanging="220"/>
            </w:pPr>
          </w:p>
          <w:p w14:paraId="3DECC829" w14:textId="77777777" w:rsidR="00250DC5" w:rsidRDefault="00250DC5">
            <w:pPr>
              <w:spacing w:line="256" w:lineRule="auto"/>
              <w:ind w:left="306" w:right="-104" w:hanging="220"/>
            </w:pPr>
            <w:bookmarkStart w:id="5" w:name="debrap"/>
            <w:bookmarkEnd w:id="5"/>
            <w:r>
              <w:t xml:space="preserve">M. </w:t>
            </w:r>
            <w:proofErr w:type="spellStart"/>
            <w:r>
              <w:t>Lassaux</w:t>
            </w:r>
            <w:proofErr w:type="spellEnd"/>
          </w:p>
          <w:p w14:paraId="3FC7901B" w14:textId="77777777" w:rsidR="00250DC5" w:rsidRDefault="00250DC5">
            <w:pPr>
              <w:spacing w:line="256" w:lineRule="auto"/>
              <w:ind w:left="306" w:right="-104" w:hanging="220"/>
            </w:pPr>
            <w:r>
              <w:t>Rapporteur</w:t>
            </w:r>
          </w:p>
          <w:p w14:paraId="65F03306" w14:textId="77777777" w:rsidR="00250DC5" w:rsidRDefault="00250DC5">
            <w:pPr>
              <w:spacing w:line="256" w:lineRule="auto"/>
              <w:ind w:left="306" w:right="-104" w:hanging="220"/>
            </w:pPr>
            <w:r>
              <w:t>___________</w:t>
            </w:r>
          </w:p>
          <w:p w14:paraId="4AE25781" w14:textId="77777777" w:rsidR="00250DC5" w:rsidRDefault="00250DC5">
            <w:pPr>
              <w:spacing w:line="256" w:lineRule="auto"/>
              <w:ind w:left="306" w:right="-104" w:hanging="220"/>
            </w:pPr>
          </w:p>
          <w:p w14:paraId="6843C009" w14:textId="77777777" w:rsidR="00250DC5" w:rsidRDefault="00250DC5">
            <w:pPr>
              <w:spacing w:line="256" w:lineRule="auto"/>
              <w:ind w:left="306" w:right="-104" w:hanging="220"/>
            </w:pPr>
            <w:bookmarkStart w:id="6" w:name="fincom"/>
            <w:bookmarkStart w:id="7" w:name="debcom"/>
            <w:bookmarkEnd w:id="6"/>
            <w:bookmarkEnd w:id="7"/>
            <w:r>
              <w:t xml:space="preserve">M. </w:t>
            </w:r>
            <w:proofErr w:type="spellStart"/>
            <w:r>
              <w:t>Felsenheld</w:t>
            </w:r>
            <w:proofErr w:type="spellEnd"/>
          </w:p>
          <w:p w14:paraId="0A2B00C0" w14:textId="77777777" w:rsidR="00250DC5" w:rsidRDefault="00250DC5">
            <w:pPr>
              <w:spacing w:line="256" w:lineRule="auto"/>
              <w:ind w:left="306" w:right="-104" w:hanging="220"/>
            </w:pPr>
            <w:r>
              <w:t>Rapporteur public</w:t>
            </w:r>
          </w:p>
          <w:p w14:paraId="2EC8734F" w14:textId="77777777" w:rsidR="00250DC5" w:rsidRDefault="00250DC5">
            <w:pPr>
              <w:spacing w:line="256" w:lineRule="auto"/>
              <w:ind w:left="306" w:right="-104" w:hanging="220"/>
            </w:pPr>
            <w:r>
              <w:t>___________</w:t>
            </w:r>
          </w:p>
          <w:p w14:paraId="5AFC61F5" w14:textId="77777777" w:rsidR="00250DC5" w:rsidRDefault="00250DC5">
            <w:pPr>
              <w:spacing w:line="256" w:lineRule="auto"/>
              <w:ind w:left="306" w:right="-104" w:hanging="220"/>
            </w:pPr>
          </w:p>
          <w:p w14:paraId="1F46E00E" w14:textId="5A19BFB7" w:rsidR="00250DC5" w:rsidRDefault="00250DC5">
            <w:pPr>
              <w:spacing w:line="256" w:lineRule="auto"/>
              <w:ind w:left="306" w:right="-104" w:hanging="220"/>
            </w:pPr>
            <w:r>
              <w:t xml:space="preserve">Audience du </w:t>
            </w:r>
            <w:bookmarkStart w:id="8" w:name="findtaud"/>
            <w:bookmarkEnd w:id="8"/>
            <w:r w:rsidR="006E3063">
              <w:t>13 février 2025</w:t>
            </w:r>
          </w:p>
          <w:p w14:paraId="7D0E29B6" w14:textId="28DCA80C" w:rsidR="00250DC5" w:rsidRDefault="00250DC5">
            <w:pPr>
              <w:spacing w:line="256" w:lineRule="auto"/>
              <w:ind w:left="306" w:right="-104" w:hanging="220"/>
            </w:pPr>
            <w:bookmarkStart w:id="9" w:name="findtlect"/>
            <w:bookmarkStart w:id="10" w:name="debdtlect"/>
            <w:bookmarkEnd w:id="9"/>
            <w:bookmarkEnd w:id="10"/>
            <w:r>
              <w:t xml:space="preserve">Décision du </w:t>
            </w:r>
            <w:r w:rsidR="006E3063">
              <w:t>28 février 2025</w:t>
            </w:r>
          </w:p>
          <w:p w14:paraId="236326E7" w14:textId="77777777" w:rsidR="00250DC5" w:rsidRDefault="00250DC5">
            <w:pPr>
              <w:spacing w:after="58" w:line="256" w:lineRule="auto"/>
              <w:ind w:left="306" w:right="-104" w:hanging="220"/>
            </w:pPr>
            <w:r>
              <w:t>___________</w:t>
            </w:r>
          </w:p>
        </w:tc>
        <w:tc>
          <w:tcPr>
            <w:tcW w:w="5103" w:type="dxa"/>
            <w:tcBorders>
              <w:top w:val="single" w:sz="6" w:space="0" w:color="FFFFFF"/>
              <w:left w:val="single" w:sz="6" w:space="0" w:color="FFFFFF"/>
              <w:bottom w:val="single" w:sz="6" w:space="0" w:color="FFFFFF"/>
              <w:right w:val="single" w:sz="6" w:space="0" w:color="FFFFFF"/>
            </w:tcBorders>
          </w:tcPr>
          <w:p w14:paraId="2DD82218" w14:textId="77777777" w:rsidR="00250DC5" w:rsidRDefault="00250DC5">
            <w:pPr>
              <w:pStyle w:val="En-tte"/>
              <w:tabs>
                <w:tab w:val="left" w:pos="708"/>
              </w:tabs>
              <w:spacing w:line="120" w:lineRule="exact"/>
              <w:ind w:left="186" w:hanging="220"/>
            </w:pPr>
          </w:p>
          <w:p w14:paraId="57A0B2B5" w14:textId="72744275" w:rsidR="00250DC5" w:rsidRDefault="00BB6EB8" w:rsidP="003D3BD3">
            <w:pPr>
              <w:spacing w:line="256" w:lineRule="auto"/>
              <w:ind w:left="186" w:firstLine="3805"/>
              <w:jc w:val="center"/>
            </w:pPr>
            <w:bookmarkStart w:id="11" w:name="debinitiale"/>
            <w:bookmarkEnd w:id="11"/>
            <w:proofErr w:type="spellStart"/>
            <w:r>
              <w:t>cj</w:t>
            </w:r>
            <w:proofErr w:type="spellEnd"/>
          </w:p>
          <w:p w14:paraId="4AF4A83D" w14:textId="77777777" w:rsidR="00250DC5" w:rsidRDefault="00250DC5">
            <w:pPr>
              <w:spacing w:line="256" w:lineRule="auto"/>
              <w:ind w:left="186" w:hanging="220"/>
            </w:pPr>
          </w:p>
          <w:p w14:paraId="26E707E0" w14:textId="77777777" w:rsidR="00250DC5" w:rsidRDefault="00250DC5">
            <w:pPr>
              <w:spacing w:line="256" w:lineRule="auto"/>
              <w:ind w:left="186" w:hanging="220"/>
            </w:pPr>
          </w:p>
          <w:p w14:paraId="0825DC71" w14:textId="77777777" w:rsidR="00250DC5" w:rsidRDefault="00250DC5">
            <w:pPr>
              <w:spacing w:line="256" w:lineRule="auto"/>
            </w:pPr>
          </w:p>
          <w:p w14:paraId="2F869A24" w14:textId="77777777" w:rsidR="00250DC5" w:rsidRDefault="00250DC5">
            <w:pPr>
              <w:pStyle w:val="Titre4"/>
              <w:spacing w:line="256" w:lineRule="auto"/>
            </w:pPr>
            <w:r>
              <w:t>REPUBLIQUE FRANÇAISE</w:t>
            </w:r>
          </w:p>
          <w:p w14:paraId="59D42EAB" w14:textId="77777777" w:rsidR="00250DC5" w:rsidRDefault="00250DC5">
            <w:pPr>
              <w:spacing w:line="256" w:lineRule="auto"/>
              <w:ind w:left="186" w:hanging="220"/>
              <w:rPr>
                <w:b/>
                <w:bCs/>
              </w:rPr>
            </w:pPr>
          </w:p>
          <w:p w14:paraId="3C0F3CEC" w14:textId="77777777" w:rsidR="00250DC5" w:rsidRDefault="00250DC5">
            <w:pPr>
              <w:spacing w:line="256" w:lineRule="auto"/>
              <w:ind w:left="186" w:hanging="220"/>
              <w:rPr>
                <w:b/>
                <w:bCs/>
              </w:rPr>
            </w:pPr>
          </w:p>
          <w:p w14:paraId="2FA10BAB" w14:textId="77777777" w:rsidR="00250DC5" w:rsidRDefault="00250DC5">
            <w:pPr>
              <w:spacing w:line="256" w:lineRule="auto"/>
              <w:ind w:left="186" w:hanging="220"/>
              <w:rPr>
                <w:b/>
                <w:bCs/>
              </w:rPr>
            </w:pPr>
          </w:p>
          <w:p w14:paraId="5049621B" w14:textId="77777777" w:rsidR="00250DC5" w:rsidRDefault="00250DC5">
            <w:pPr>
              <w:spacing w:line="256" w:lineRule="auto"/>
              <w:ind w:left="186" w:hanging="220"/>
              <w:jc w:val="center"/>
              <w:rPr>
                <w:b/>
                <w:bCs/>
              </w:rPr>
            </w:pPr>
            <w:r>
              <w:rPr>
                <w:b/>
                <w:bCs/>
              </w:rPr>
              <w:t>AU NOM DU PEUPLE FRANÇAIS</w:t>
            </w:r>
          </w:p>
          <w:p w14:paraId="2A458E7C" w14:textId="77777777" w:rsidR="00250DC5" w:rsidRDefault="00250DC5">
            <w:pPr>
              <w:spacing w:line="256" w:lineRule="auto"/>
              <w:ind w:left="186" w:hanging="220"/>
              <w:rPr>
                <w:b/>
                <w:bCs/>
              </w:rPr>
            </w:pPr>
          </w:p>
          <w:p w14:paraId="4977FB5F" w14:textId="77777777" w:rsidR="00250DC5" w:rsidRDefault="00250DC5">
            <w:pPr>
              <w:spacing w:line="256" w:lineRule="auto"/>
              <w:ind w:left="186" w:hanging="220"/>
            </w:pPr>
          </w:p>
          <w:p w14:paraId="1AF33A90" w14:textId="77777777" w:rsidR="00250DC5" w:rsidRDefault="00250DC5">
            <w:pPr>
              <w:spacing w:line="256" w:lineRule="auto"/>
              <w:ind w:left="186" w:hanging="220"/>
            </w:pPr>
          </w:p>
          <w:p w14:paraId="001A71FF" w14:textId="77777777" w:rsidR="00250DC5" w:rsidRDefault="00250DC5">
            <w:pPr>
              <w:spacing w:line="256" w:lineRule="auto"/>
              <w:ind w:left="186" w:hanging="220"/>
              <w:jc w:val="center"/>
            </w:pPr>
            <w:r>
              <w:t>Le tribunal administratif de La Réunion</w:t>
            </w:r>
          </w:p>
          <w:p w14:paraId="1193E249" w14:textId="77777777" w:rsidR="00250DC5" w:rsidRDefault="00250DC5">
            <w:pPr>
              <w:spacing w:line="256" w:lineRule="auto"/>
              <w:ind w:left="186" w:hanging="220"/>
            </w:pPr>
          </w:p>
          <w:p w14:paraId="6126AE3F" w14:textId="77777777" w:rsidR="00BB6EB8" w:rsidRDefault="00BB6EB8">
            <w:pPr>
              <w:spacing w:line="256" w:lineRule="auto"/>
              <w:ind w:left="186" w:hanging="220"/>
              <w:jc w:val="center"/>
            </w:pPr>
          </w:p>
          <w:p w14:paraId="6B037ADE" w14:textId="77777777" w:rsidR="00BB6EB8" w:rsidRDefault="00BB6EB8">
            <w:pPr>
              <w:spacing w:line="256" w:lineRule="auto"/>
              <w:ind w:left="186" w:hanging="220"/>
              <w:jc w:val="center"/>
            </w:pPr>
          </w:p>
          <w:p w14:paraId="715CC929" w14:textId="23F78DB1" w:rsidR="00250DC5" w:rsidRDefault="00250DC5">
            <w:pPr>
              <w:spacing w:line="256" w:lineRule="auto"/>
              <w:ind w:left="186" w:hanging="220"/>
              <w:jc w:val="center"/>
              <w:rPr>
                <w:b/>
                <w:u w:val="single"/>
              </w:rPr>
            </w:pPr>
            <w:r>
              <w:t>(1</w:t>
            </w:r>
            <w:r>
              <w:rPr>
                <w:vertAlign w:val="superscript"/>
              </w:rPr>
              <w:t>ère</w:t>
            </w:r>
            <w:r>
              <w:t xml:space="preserve"> chambre)</w:t>
            </w:r>
          </w:p>
          <w:p w14:paraId="0F9E0C69" w14:textId="77777777" w:rsidR="00250DC5" w:rsidRDefault="00250DC5">
            <w:pPr>
              <w:spacing w:after="58" w:line="256" w:lineRule="auto"/>
              <w:ind w:left="186" w:hanging="220"/>
            </w:pPr>
          </w:p>
        </w:tc>
      </w:tr>
    </w:tbl>
    <w:p w14:paraId="1342604C" w14:textId="77777777" w:rsidR="00250DC5" w:rsidRDefault="00250DC5" w:rsidP="00250DC5">
      <w:pPr>
        <w:ind w:left="-480"/>
        <w:jc w:val="both"/>
      </w:pPr>
    </w:p>
    <w:p w14:paraId="74750C36" w14:textId="77777777" w:rsidR="00250DC5" w:rsidRDefault="00250DC5" w:rsidP="00250DC5">
      <w:pPr>
        <w:ind w:left="-480"/>
        <w:jc w:val="both"/>
      </w:pPr>
      <w:r>
        <w:t>C</w:t>
      </w:r>
    </w:p>
    <w:p w14:paraId="49627432" w14:textId="0CDBC3B8" w:rsidR="00250DC5" w:rsidRDefault="00250DC5" w:rsidP="00250DC5">
      <w:pPr>
        <w:widowControl/>
        <w:autoSpaceDE/>
        <w:adjustRightInd/>
        <w:jc w:val="both"/>
        <w:rPr>
          <w:rFonts w:ascii="Calibri-Light" w:hAnsi="Calibri-Light"/>
          <w:color w:val="000000"/>
          <w:sz w:val="22"/>
          <w:szCs w:val="22"/>
        </w:rPr>
      </w:pPr>
    </w:p>
    <w:p w14:paraId="65F031D9" w14:textId="547B3A31" w:rsidR="00BB6EB8" w:rsidRDefault="00BB6EB8" w:rsidP="00250DC5">
      <w:pPr>
        <w:widowControl/>
        <w:autoSpaceDE/>
        <w:adjustRightInd/>
        <w:jc w:val="both"/>
        <w:rPr>
          <w:rFonts w:ascii="Calibri-Light" w:hAnsi="Calibri-Light"/>
          <w:color w:val="000000"/>
          <w:sz w:val="22"/>
          <w:szCs w:val="22"/>
        </w:rPr>
      </w:pPr>
    </w:p>
    <w:p w14:paraId="2378791E" w14:textId="42B2BEB7" w:rsidR="00317583" w:rsidRDefault="00317583" w:rsidP="00250DC5">
      <w:pPr>
        <w:widowControl/>
        <w:autoSpaceDE/>
        <w:adjustRightInd/>
        <w:jc w:val="both"/>
        <w:rPr>
          <w:rFonts w:ascii="Calibri-Light" w:hAnsi="Calibri-Light"/>
          <w:color w:val="000000"/>
          <w:sz w:val="22"/>
          <w:szCs w:val="22"/>
        </w:rPr>
      </w:pPr>
    </w:p>
    <w:p w14:paraId="5E4B5AB4" w14:textId="0BE39EA2" w:rsidR="00317583" w:rsidRDefault="00317583" w:rsidP="00250DC5">
      <w:pPr>
        <w:widowControl/>
        <w:autoSpaceDE/>
        <w:adjustRightInd/>
        <w:jc w:val="both"/>
        <w:rPr>
          <w:rFonts w:ascii="Calibri-Light" w:hAnsi="Calibri-Light"/>
          <w:color w:val="000000"/>
          <w:sz w:val="22"/>
          <w:szCs w:val="22"/>
        </w:rPr>
      </w:pPr>
    </w:p>
    <w:p w14:paraId="36496E44" w14:textId="77777777" w:rsidR="00317583" w:rsidRDefault="00317583" w:rsidP="00250DC5">
      <w:pPr>
        <w:widowControl/>
        <w:autoSpaceDE/>
        <w:adjustRightInd/>
        <w:jc w:val="both"/>
        <w:rPr>
          <w:rFonts w:ascii="Calibri-Light" w:hAnsi="Calibri-Light"/>
          <w:color w:val="000000"/>
          <w:sz w:val="22"/>
          <w:szCs w:val="22"/>
        </w:rPr>
      </w:pPr>
    </w:p>
    <w:p w14:paraId="268C724D" w14:textId="77777777" w:rsidR="00BB6EB8" w:rsidRDefault="00BB6EB8" w:rsidP="00250DC5">
      <w:pPr>
        <w:widowControl/>
        <w:autoSpaceDE/>
        <w:adjustRightInd/>
        <w:jc w:val="both"/>
        <w:rPr>
          <w:rFonts w:ascii="Calibri-Light" w:hAnsi="Calibri-Light"/>
          <w:color w:val="000000"/>
          <w:sz w:val="22"/>
          <w:szCs w:val="22"/>
        </w:rPr>
      </w:pPr>
    </w:p>
    <w:p w14:paraId="61107050" w14:textId="77777777" w:rsidR="00250DC5" w:rsidRDefault="00250DC5" w:rsidP="00250DC5">
      <w:pPr>
        <w:widowControl/>
        <w:autoSpaceDE/>
        <w:adjustRightInd/>
        <w:jc w:val="both"/>
        <w:rPr>
          <w:i/>
          <w:lang w:eastAsia="fr-FR"/>
        </w:rPr>
      </w:pPr>
    </w:p>
    <w:p w14:paraId="4EB19836" w14:textId="77777777" w:rsidR="00250DC5" w:rsidRDefault="00250DC5" w:rsidP="00250DC5">
      <w:pPr>
        <w:widowControl/>
        <w:autoSpaceDE/>
        <w:adjustRightInd/>
        <w:ind w:firstLine="851"/>
        <w:jc w:val="both"/>
        <w:rPr>
          <w:lang w:eastAsia="fr-FR"/>
        </w:rPr>
      </w:pPr>
      <w:r>
        <w:rPr>
          <w:lang w:eastAsia="fr-FR"/>
        </w:rPr>
        <w:t>Vu la procédure suivante :</w:t>
      </w:r>
    </w:p>
    <w:p w14:paraId="0E291FB8" w14:textId="3A17F022" w:rsidR="00250DC5" w:rsidRDefault="00250DC5" w:rsidP="00250DC5">
      <w:pPr>
        <w:widowControl/>
        <w:autoSpaceDE/>
        <w:adjustRightInd/>
        <w:ind w:firstLine="851"/>
        <w:jc w:val="both"/>
      </w:pPr>
    </w:p>
    <w:p w14:paraId="4364227E" w14:textId="77777777" w:rsidR="00317583" w:rsidRDefault="00317583" w:rsidP="00250DC5">
      <w:pPr>
        <w:widowControl/>
        <w:autoSpaceDE/>
        <w:adjustRightInd/>
        <w:ind w:firstLine="851"/>
        <w:jc w:val="both"/>
      </w:pPr>
    </w:p>
    <w:p w14:paraId="5AB28FFD" w14:textId="3017AF78" w:rsidR="00250DC5" w:rsidRDefault="00250DC5" w:rsidP="00250DC5">
      <w:pPr>
        <w:widowControl/>
        <w:autoSpaceDE/>
        <w:adjustRightInd/>
        <w:ind w:firstLine="851"/>
        <w:jc w:val="both"/>
        <w:rPr>
          <w:lang w:eastAsia="fr-FR"/>
        </w:rPr>
      </w:pPr>
      <w:r>
        <w:t xml:space="preserve">Par une requête et des mémoires enregistrés les </w:t>
      </w:r>
      <w:r w:rsidR="0087674A">
        <w:t>4 mars 2019, 20 avril 2021, 17</w:t>
      </w:r>
      <w:r w:rsidR="00BB6EB8">
        <w:t> </w:t>
      </w:r>
      <w:r w:rsidR="0087674A">
        <w:t>mai</w:t>
      </w:r>
      <w:r w:rsidR="00BB6EB8">
        <w:t> </w:t>
      </w:r>
      <w:r w:rsidR="0087674A">
        <w:t xml:space="preserve">2022, 14 février </w:t>
      </w:r>
      <w:r w:rsidR="00BB6EB8">
        <w:t>2023,</w:t>
      </w:r>
      <w:r w:rsidR="003C66FE">
        <w:t xml:space="preserve"> </w:t>
      </w:r>
      <w:r w:rsidR="0087674A">
        <w:t>4 juillet 2023</w:t>
      </w:r>
      <w:r w:rsidR="00B5349A">
        <w:t>,</w:t>
      </w:r>
      <w:r w:rsidR="003C66FE">
        <w:t xml:space="preserve"> </w:t>
      </w:r>
      <w:r w:rsidR="0087674A">
        <w:t>2 février 2024</w:t>
      </w:r>
      <w:r>
        <w:t>,</w:t>
      </w:r>
      <w:r w:rsidR="00B5349A">
        <w:t xml:space="preserve"> et le 7 octobre 2024, </w:t>
      </w:r>
      <w:r>
        <w:t xml:space="preserve">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représentées par Me Balique et Me Cabanes, doi</w:t>
      </w:r>
      <w:r w:rsidR="00744BD9">
        <w:t>ven</w:t>
      </w:r>
      <w:r>
        <w:t>t être regardée</w:t>
      </w:r>
      <w:r w:rsidR="00744BD9">
        <w:t>s</w:t>
      </w:r>
      <w:r>
        <w:t xml:space="preserve"> comme demandant au tribunal dans le dernier état de leurs écritures :</w:t>
      </w:r>
    </w:p>
    <w:p w14:paraId="0F4AB4F4" w14:textId="77777777" w:rsidR="00250DC5" w:rsidRDefault="00250DC5" w:rsidP="00250DC5">
      <w:pPr>
        <w:widowControl/>
        <w:autoSpaceDE/>
        <w:adjustRightInd/>
        <w:ind w:firstLine="851"/>
        <w:jc w:val="both"/>
      </w:pPr>
    </w:p>
    <w:p w14:paraId="7FAB22CE" w14:textId="77777777" w:rsidR="00577A56" w:rsidRDefault="00250DC5" w:rsidP="00250DC5">
      <w:pPr>
        <w:widowControl/>
        <w:autoSpaceDE/>
        <w:adjustRightInd/>
        <w:ind w:firstLine="851"/>
        <w:jc w:val="both"/>
      </w:pPr>
      <w:r>
        <w:t xml:space="preserve">1°) </w:t>
      </w:r>
      <w:r w:rsidR="00577A56">
        <w:t>d’enjoindre à la région Réunion de produire le rapport d’analyse des offres du marché n° MT3 portant sur la construction du viaduc de la nouvelle route du littoral</w:t>
      </w:r>
      <w:r w:rsidR="00577A56">
        <w:rPr>
          <w:rStyle w:val="fontstyle01"/>
        </w:rPr>
        <w:t> </w:t>
      </w:r>
      <w:r w:rsidR="00577A56">
        <w:t>;</w:t>
      </w:r>
    </w:p>
    <w:p w14:paraId="6FF1ED6A" w14:textId="77777777" w:rsidR="00577A56" w:rsidRDefault="00577A56" w:rsidP="00250DC5">
      <w:pPr>
        <w:widowControl/>
        <w:autoSpaceDE/>
        <w:adjustRightInd/>
        <w:ind w:firstLine="851"/>
        <w:jc w:val="both"/>
      </w:pPr>
    </w:p>
    <w:p w14:paraId="09C72603" w14:textId="77777777" w:rsidR="00317583" w:rsidRDefault="00317583" w:rsidP="00250DC5">
      <w:pPr>
        <w:widowControl/>
        <w:autoSpaceDE/>
        <w:adjustRightInd/>
        <w:ind w:firstLine="851"/>
        <w:jc w:val="both"/>
      </w:pPr>
    </w:p>
    <w:p w14:paraId="6EEFE7C1" w14:textId="77777777" w:rsidR="00317583" w:rsidRDefault="00317583" w:rsidP="00250DC5">
      <w:pPr>
        <w:widowControl/>
        <w:autoSpaceDE/>
        <w:adjustRightInd/>
        <w:ind w:firstLine="851"/>
        <w:jc w:val="both"/>
      </w:pPr>
    </w:p>
    <w:p w14:paraId="400CB887" w14:textId="049AC184" w:rsidR="00250DC5" w:rsidRDefault="00577A56" w:rsidP="00250DC5">
      <w:pPr>
        <w:widowControl/>
        <w:autoSpaceDE/>
        <w:adjustRightInd/>
        <w:ind w:firstLine="851"/>
        <w:jc w:val="both"/>
      </w:pPr>
      <w:r>
        <w:t xml:space="preserve">2°) </w:t>
      </w:r>
      <w:r w:rsidR="00250DC5">
        <w:t xml:space="preserve">de condamner la région Réunion à leur verser la somme de </w:t>
      </w:r>
      <w:r w:rsidR="0087674A">
        <w:t xml:space="preserve">895 419 </w:t>
      </w:r>
      <w:r w:rsidR="00250DC5">
        <w:t xml:space="preserve">euros hors taxes euros assortie des intérêts moratoires de droit à </w:t>
      </w:r>
      <w:r w:rsidR="00250DC5" w:rsidRPr="00B25092">
        <w:t xml:space="preserve">compter </w:t>
      </w:r>
      <w:r w:rsidR="0087674A" w:rsidRPr="003C66FE">
        <w:t>5 décembre 2018</w:t>
      </w:r>
      <w:r w:rsidR="00250DC5">
        <w:t>, au titre de l’exécution</w:t>
      </w:r>
      <w:r>
        <w:t xml:space="preserve"> de ce marché </w:t>
      </w:r>
      <w:r w:rsidR="00250DC5">
        <w:rPr>
          <w:rStyle w:val="fontstyle01"/>
        </w:rPr>
        <w:t xml:space="preserve">; </w:t>
      </w:r>
    </w:p>
    <w:p w14:paraId="430FDC40" w14:textId="77777777" w:rsidR="00250DC5" w:rsidRDefault="00250DC5" w:rsidP="00250DC5">
      <w:pPr>
        <w:widowControl/>
        <w:autoSpaceDE/>
        <w:adjustRightInd/>
        <w:ind w:firstLine="851"/>
        <w:jc w:val="both"/>
      </w:pPr>
    </w:p>
    <w:p w14:paraId="5281487C" w14:textId="474D850A" w:rsidR="00250DC5" w:rsidRDefault="00577A56" w:rsidP="00250DC5">
      <w:pPr>
        <w:widowControl/>
        <w:autoSpaceDE/>
        <w:adjustRightInd/>
        <w:ind w:firstLine="851"/>
        <w:jc w:val="both"/>
      </w:pPr>
      <w:r>
        <w:t>3</w:t>
      </w:r>
      <w:r w:rsidR="00250DC5">
        <w:t xml:space="preserve">°) de mettre à la charge de la région Réunion la somme de 20 000 euros au titre </w:t>
      </w:r>
      <w:r w:rsidR="00744BD9">
        <w:t xml:space="preserve">des dispositions </w:t>
      </w:r>
      <w:r w:rsidR="00250DC5">
        <w:t xml:space="preserve">de l’article </w:t>
      </w:r>
      <w:r w:rsidR="00744BD9">
        <w:t>L</w:t>
      </w:r>
      <w:r w:rsidR="00250DC5">
        <w:t>. 761-1 du code de justice administrative.</w:t>
      </w:r>
    </w:p>
    <w:p w14:paraId="44C69098" w14:textId="55C9BD69" w:rsidR="00250DC5" w:rsidRDefault="00250DC5" w:rsidP="00250DC5">
      <w:pPr>
        <w:widowControl/>
        <w:autoSpaceDE/>
        <w:adjustRightInd/>
        <w:ind w:firstLine="851"/>
        <w:jc w:val="both"/>
      </w:pPr>
    </w:p>
    <w:p w14:paraId="72EA6137" w14:textId="77777777" w:rsidR="004F58ED" w:rsidRDefault="004F58ED" w:rsidP="00250DC5">
      <w:pPr>
        <w:widowControl/>
        <w:autoSpaceDE/>
        <w:adjustRightInd/>
        <w:ind w:firstLine="851"/>
        <w:jc w:val="both"/>
      </w:pPr>
    </w:p>
    <w:p w14:paraId="10A5DF01" w14:textId="738C02F4" w:rsidR="00250DC5" w:rsidRDefault="00250DC5" w:rsidP="00250DC5">
      <w:pPr>
        <w:widowControl/>
        <w:autoSpaceDE/>
        <w:adjustRightInd/>
        <w:ind w:firstLine="851"/>
        <w:jc w:val="both"/>
      </w:pPr>
      <w:r>
        <w:t>Elles soutiennent que :</w:t>
      </w:r>
    </w:p>
    <w:p w14:paraId="5D5A39E8" w14:textId="77777777" w:rsidR="00317583" w:rsidRDefault="00317583" w:rsidP="00250DC5">
      <w:pPr>
        <w:widowControl/>
        <w:autoSpaceDE/>
        <w:adjustRightInd/>
        <w:ind w:firstLine="851"/>
        <w:jc w:val="both"/>
      </w:pPr>
    </w:p>
    <w:p w14:paraId="381F3168" w14:textId="03F5A53B" w:rsidR="003876C9" w:rsidRDefault="003876C9" w:rsidP="003876C9">
      <w:pPr>
        <w:pStyle w:val="NormalWeb"/>
        <w:spacing w:before="0" w:beforeAutospacing="0" w:after="0" w:afterAutospacing="0"/>
        <w:ind w:firstLine="851"/>
        <w:jc w:val="both"/>
      </w:pPr>
      <w:r>
        <w:t>-</w:t>
      </w:r>
      <w:r>
        <w:rPr>
          <w:sz w:val="14"/>
          <w:szCs w:val="14"/>
        </w:rPr>
        <w:t xml:space="preserve"> </w:t>
      </w:r>
      <w:r>
        <w:t>dans son avis du 14 novembre 2023, le Conseil d’Etat a considéré que dans le cadre d’une conciliation ou d’une médiation, il convient de distinguer les documents élaborés au cours de la médiation qui font état de la position du médiateur ou des parties et qui doivent rester confidentiels</w:t>
      </w:r>
      <w:r w:rsidR="003C66FE">
        <w:t>,</w:t>
      </w:r>
      <w:r>
        <w:t xml:space="preserve"> des autres informations techniques ou factuelles qui peuvent quant à elles être divulguées dans le cadre contentieux ; le </w:t>
      </w:r>
      <w:r>
        <w:rPr>
          <w:rStyle w:val="matchlocations"/>
        </w:rPr>
        <w:t>rapport de M. Favre</w:t>
      </w:r>
      <w:r>
        <w:t xml:space="preserve"> peut donc être communiqué ;</w:t>
      </w:r>
    </w:p>
    <w:p w14:paraId="347013FB" w14:textId="3B4793A8" w:rsidR="0087674A" w:rsidRDefault="00250DC5" w:rsidP="003D3BD3">
      <w:pPr>
        <w:pStyle w:val="Paragraphedeliste"/>
        <w:widowControl/>
        <w:numPr>
          <w:ilvl w:val="0"/>
          <w:numId w:val="1"/>
        </w:numPr>
        <w:tabs>
          <w:tab w:val="left" w:pos="993"/>
          <w:tab w:val="left" w:pos="1134"/>
        </w:tabs>
        <w:autoSpaceDE/>
        <w:adjustRightInd/>
        <w:ind w:left="0" w:firstLine="851"/>
        <w:jc w:val="both"/>
      </w:pPr>
      <w:r>
        <w:t xml:space="preserve"> </w:t>
      </w:r>
      <w:r w:rsidR="0087674A">
        <w:t>la clause de non recours issue de la signature de l’avenant N°</w:t>
      </w:r>
      <w:r w:rsidR="00BB6EB8">
        <w:t xml:space="preserve"> </w:t>
      </w:r>
      <w:r w:rsidR="0087674A">
        <w:t>3 conclu le 20</w:t>
      </w:r>
      <w:r w:rsidR="00BB6EB8">
        <w:t> </w:t>
      </w:r>
      <w:r w:rsidR="0087674A">
        <w:t>octobre</w:t>
      </w:r>
      <w:r w:rsidR="00BB6EB8">
        <w:t> </w:t>
      </w:r>
      <w:r w:rsidR="0087674A">
        <w:t>2020 s’interprète strictement ; seuls deux items correspondant à leur demande initiale d’indemnisation, immobilisation suite au blocage du convoi du second atelier » et « immobilisation suite au blocage du site (grèves</w:t>
      </w:r>
      <w:r w:rsidR="00744BD9">
        <w:t>)</w:t>
      </w:r>
      <w:r w:rsidR="0087674A">
        <w:t> »</w:t>
      </w:r>
      <w:r w:rsidR="003C66FE">
        <w:t>,</w:t>
      </w:r>
      <w:r w:rsidR="0087674A">
        <w:t xml:space="preserve"> ne relèvent pas des sujétions techniques imprévues d’origine géotechnique dont les réclamations sont concernées par l’avenant ; les quatre aux items de la </w:t>
      </w:r>
      <w:r w:rsidR="00744BD9">
        <w:t>DRC</w:t>
      </w:r>
      <w:r w:rsidR="0087674A">
        <w:t xml:space="preserve"> peuvent être rémunérés sans que l’avenant précité y fasse obstacle ; </w:t>
      </w:r>
      <w:r w:rsidR="00744BD9">
        <w:t>l</w:t>
      </w:r>
      <w:r w:rsidR="0087674A">
        <w:t>es surco</w:t>
      </w:r>
      <w:r w:rsidR="00744BD9">
        <w:t>û</w:t>
      </w:r>
      <w:r w:rsidR="0087674A">
        <w:t>ts dus au vide sous dalle et au béton pour injections pour remblai sous dalle doivent être rému</w:t>
      </w:r>
      <w:r w:rsidR="00164154">
        <w:t>néré</w:t>
      </w:r>
      <w:r w:rsidR="00744BD9">
        <w:t>s</w:t>
      </w:r>
      <w:r w:rsidR="0087674A">
        <w:t xml:space="preserve"> ; </w:t>
      </w:r>
      <w:r w:rsidR="00744BD9">
        <w:t xml:space="preserve">en effet, </w:t>
      </w:r>
      <w:r w:rsidR="0087674A">
        <w:t>dès l</w:t>
      </w:r>
      <w:r w:rsidR="00164154">
        <w:t>or</w:t>
      </w:r>
      <w:r w:rsidR="0087674A">
        <w:t>s que le remblai constitutif de cette plateforme s’est affaiss</w:t>
      </w:r>
      <w:r w:rsidR="00744BD9">
        <w:t>é</w:t>
      </w:r>
      <w:r w:rsidR="0087674A">
        <w:t xml:space="preserve"> sous cette dalle lors des travaux forage, elles ont</w:t>
      </w:r>
      <w:r w:rsidR="00164154">
        <w:t xml:space="preserve"> </w:t>
      </w:r>
      <w:r w:rsidR="0087674A">
        <w:t>été conf</w:t>
      </w:r>
      <w:r w:rsidR="00164154">
        <w:t>ron</w:t>
      </w:r>
      <w:r w:rsidR="0087674A">
        <w:t>té</w:t>
      </w:r>
      <w:r w:rsidR="00744BD9">
        <w:t>es</w:t>
      </w:r>
      <w:r w:rsidR="0087674A">
        <w:t xml:space="preserve"> à un remblai défaillant ; l’affaissement du remblai étant apparu dès le début des travaux de forage, il n’est </w:t>
      </w:r>
      <w:r w:rsidR="00164154">
        <w:t>pa</w:t>
      </w:r>
      <w:r w:rsidR="0087674A">
        <w:t xml:space="preserve">s lié au recours au marteau </w:t>
      </w:r>
      <w:r w:rsidR="00561724">
        <w:t>fond de pieu ; ce phénomène est en lie</w:t>
      </w:r>
      <w:r w:rsidR="00744BD9">
        <w:t>n</w:t>
      </w:r>
      <w:r w:rsidR="00561724">
        <w:t xml:space="preserve"> avec l’ut</w:t>
      </w:r>
      <w:r w:rsidR="00164154">
        <w:t>i</w:t>
      </w:r>
      <w:r w:rsidR="00561724">
        <w:t xml:space="preserve">lisation par le titulaire </w:t>
      </w:r>
      <w:r w:rsidR="00164154">
        <w:t>du</w:t>
      </w:r>
      <w:r w:rsidR="00561724">
        <w:t xml:space="preserve"> marché MT5.1 de matériaux d’andains agricoles et non de matériaux issus de carrières ; il s’agit bien d’interaction</w:t>
      </w:r>
      <w:r w:rsidR="00E8469D">
        <w:t>s</w:t>
      </w:r>
      <w:r w:rsidR="00561724">
        <w:t xml:space="preserve"> entre l’ouvrage et les sols dans lesquels ou sur lesquels cet ouvrage est ancré</w:t>
      </w:r>
      <w:r w:rsidR="00744BD9">
        <w:t>,</w:t>
      </w:r>
      <w:r w:rsidR="00561724">
        <w:t xml:space="preserve"> que ces sols soient naturels ou non ; </w:t>
      </w:r>
    </w:p>
    <w:p w14:paraId="0067D603" w14:textId="60624138" w:rsidR="00250DC5" w:rsidRDefault="00744BD9" w:rsidP="003D3BD3">
      <w:pPr>
        <w:pStyle w:val="Paragraphedeliste"/>
        <w:widowControl/>
        <w:numPr>
          <w:ilvl w:val="0"/>
          <w:numId w:val="1"/>
        </w:numPr>
        <w:tabs>
          <w:tab w:val="left" w:pos="1134"/>
        </w:tabs>
        <w:autoSpaceDE/>
        <w:adjustRightInd/>
        <w:ind w:left="0" w:firstLine="851"/>
        <w:jc w:val="both"/>
      </w:pPr>
      <w:r>
        <w:t>s</w:t>
      </w:r>
      <w:r w:rsidR="00164154">
        <w:t>’agissant des surcoûts liés aux forages P2 à P6 de la culée C49, il a été constaté des remontées de sols à ces endroits ce qui les a</w:t>
      </w:r>
      <w:r w:rsidR="006C117E">
        <w:t xml:space="preserve"> </w:t>
      </w:r>
      <w:r w:rsidR="00164154">
        <w:t xml:space="preserve">conduites à forer </w:t>
      </w:r>
      <w:r>
        <w:t>p</w:t>
      </w:r>
      <w:r w:rsidR="00164154">
        <w:t>lus profondément ; les surcoûts de forage sont bien liés aux caractéristiques géotechniques du remblai</w:t>
      </w:r>
      <w:r w:rsidR="003C66FE">
        <w:t>,</w:t>
      </w:r>
      <w:r w:rsidR="00164154">
        <w:t xml:space="preserve"> différentes de ce qui avait été initialement attendu par le groupement</w:t>
      </w:r>
      <w:r w:rsidR="00725401">
        <w:t> </w:t>
      </w:r>
      <w:r w:rsidR="00164154">
        <w:t xml:space="preserve">; </w:t>
      </w:r>
    </w:p>
    <w:p w14:paraId="5E6FEA1D" w14:textId="00A2C3C5" w:rsidR="00164154" w:rsidRDefault="00744BD9" w:rsidP="003D3BD3">
      <w:pPr>
        <w:pStyle w:val="Paragraphedeliste"/>
        <w:widowControl/>
        <w:numPr>
          <w:ilvl w:val="0"/>
          <w:numId w:val="1"/>
        </w:numPr>
        <w:tabs>
          <w:tab w:val="left" w:pos="1134"/>
        </w:tabs>
        <w:autoSpaceDE/>
        <w:adjustRightInd/>
        <w:ind w:left="0" w:firstLine="851"/>
        <w:jc w:val="both"/>
      </w:pPr>
      <w:r>
        <w:t>s</w:t>
      </w:r>
      <w:r w:rsidR="00164154">
        <w:t>’agissant des surcoûts liés aux sols différents et à un remblai plus induré</w:t>
      </w:r>
      <w:r w:rsidR="003C66FE">
        <w:t xml:space="preserve"> </w:t>
      </w:r>
      <w:r w:rsidR="00164154">
        <w:t>que la digue elle-même</w:t>
      </w:r>
      <w:r w:rsidR="003C66FE">
        <w:t xml:space="preserve">, ils ont </w:t>
      </w:r>
      <w:r w:rsidR="00164154">
        <w:t xml:space="preserve">rendu plus difficiles les conditions de forage entraînant 80 heures supplémentaires de forage ; </w:t>
      </w:r>
      <w:r w:rsidR="003C66FE">
        <w:t xml:space="preserve">à cet égard, </w:t>
      </w:r>
      <w:r w:rsidR="00164154">
        <w:t>l’utilisation de matériaux d’andains agr</w:t>
      </w:r>
      <w:r w:rsidR="00725401">
        <w:t>i</w:t>
      </w:r>
      <w:r w:rsidR="00164154">
        <w:t xml:space="preserve">coles </w:t>
      </w:r>
      <w:r w:rsidR="00725401">
        <w:t>en</w:t>
      </w:r>
      <w:r w:rsidR="00164154">
        <w:t xml:space="preserve"> lie</w:t>
      </w:r>
      <w:r w:rsidR="00725401">
        <w:t>u et</w:t>
      </w:r>
      <w:r w:rsidR="00164154">
        <w:t xml:space="preserve"> place de matériaux de carrière a conduit à la réalisation d’un remblai beaucoup plus hétérogène que ce qui était prévu avec l’alternance de blocs irrégulier</w:t>
      </w:r>
      <w:r w:rsidR="003C66FE">
        <w:t>s</w:t>
      </w:r>
      <w:r w:rsidR="00164154">
        <w:t xml:space="preserve"> rés</w:t>
      </w:r>
      <w:r w:rsidR="00725401">
        <w:t>i</w:t>
      </w:r>
      <w:r w:rsidR="00164154">
        <w:t xml:space="preserve">stants au forage ; </w:t>
      </w:r>
    </w:p>
    <w:p w14:paraId="5B9C1312" w14:textId="78161C81" w:rsidR="00164154" w:rsidRDefault="00744BD9" w:rsidP="003D3BD3">
      <w:pPr>
        <w:pStyle w:val="Paragraphedeliste"/>
        <w:widowControl/>
        <w:numPr>
          <w:ilvl w:val="0"/>
          <w:numId w:val="1"/>
        </w:numPr>
        <w:tabs>
          <w:tab w:val="left" w:pos="1134"/>
        </w:tabs>
        <w:autoSpaceDE/>
        <w:adjustRightInd/>
        <w:ind w:left="0" w:firstLine="851"/>
        <w:jc w:val="both"/>
      </w:pPr>
      <w:r>
        <w:t>l</w:t>
      </w:r>
      <w:r w:rsidR="00164154">
        <w:t xml:space="preserve">’ensemble de ces travaux et surcoûts constituent des travaux supplémentaires </w:t>
      </w:r>
      <w:r w:rsidR="00725401">
        <w:t xml:space="preserve">qui ont été indispensables à la réalisation de l’ouvrage dans les règles de l’art et qui ont été en outre réalisés conformément aux ordres de services notifiés et aux documents, plans d’exécution et notes de calcul validées par le maître d’œuvre ; </w:t>
      </w:r>
    </w:p>
    <w:p w14:paraId="2C105B63" w14:textId="696C6F71" w:rsidR="00725401" w:rsidRDefault="00744BD9" w:rsidP="003D3BD3">
      <w:pPr>
        <w:pStyle w:val="Paragraphedeliste"/>
        <w:widowControl/>
        <w:numPr>
          <w:ilvl w:val="0"/>
          <w:numId w:val="1"/>
        </w:numPr>
        <w:tabs>
          <w:tab w:val="left" w:pos="1134"/>
        </w:tabs>
        <w:autoSpaceDE/>
        <w:adjustRightInd/>
        <w:ind w:left="0" w:firstLine="851"/>
        <w:jc w:val="both"/>
      </w:pPr>
      <w:r>
        <w:t>ils</w:t>
      </w:r>
      <w:r w:rsidR="00725401">
        <w:t xml:space="preserve"> relèvent également des sujétions techniques imprévues et doivent de ce fait être indemnisés par le maître d’ouvrage ;</w:t>
      </w:r>
    </w:p>
    <w:p w14:paraId="7FFC2D0B" w14:textId="4FC29C1F" w:rsidR="00317583" w:rsidRDefault="00317583" w:rsidP="00317583">
      <w:pPr>
        <w:widowControl/>
        <w:tabs>
          <w:tab w:val="left" w:pos="1134"/>
        </w:tabs>
        <w:autoSpaceDE/>
        <w:adjustRightInd/>
        <w:jc w:val="both"/>
      </w:pPr>
    </w:p>
    <w:p w14:paraId="77EC2F4B" w14:textId="3ADF4EE0" w:rsidR="00317583" w:rsidRDefault="00317583" w:rsidP="00317583">
      <w:pPr>
        <w:widowControl/>
        <w:tabs>
          <w:tab w:val="left" w:pos="1134"/>
        </w:tabs>
        <w:autoSpaceDE/>
        <w:adjustRightInd/>
        <w:jc w:val="both"/>
      </w:pPr>
    </w:p>
    <w:p w14:paraId="23E1C051" w14:textId="269BAE35" w:rsidR="00317583" w:rsidRDefault="00317583" w:rsidP="00317583">
      <w:pPr>
        <w:widowControl/>
        <w:tabs>
          <w:tab w:val="left" w:pos="1134"/>
        </w:tabs>
        <w:autoSpaceDE/>
        <w:adjustRightInd/>
        <w:jc w:val="both"/>
      </w:pPr>
    </w:p>
    <w:p w14:paraId="3D76E55F" w14:textId="154A373E" w:rsidR="00317583" w:rsidRDefault="00317583" w:rsidP="00317583">
      <w:pPr>
        <w:widowControl/>
        <w:tabs>
          <w:tab w:val="left" w:pos="1134"/>
        </w:tabs>
        <w:autoSpaceDE/>
        <w:adjustRightInd/>
        <w:jc w:val="both"/>
      </w:pPr>
    </w:p>
    <w:p w14:paraId="5B36152C" w14:textId="44D7160C" w:rsidR="00317583" w:rsidRDefault="00317583" w:rsidP="00317583">
      <w:pPr>
        <w:widowControl/>
        <w:tabs>
          <w:tab w:val="left" w:pos="1134"/>
        </w:tabs>
        <w:autoSpaceDE/>
        <w:adjustRightInd/>
        <w:jc w:val="both"/>
      </w:pPr>
    </w:p>
    <w:p w14:paraId="0A7594C4" w14:textId="77777777" w:rsidR="00317583" w:rsidRDefault="00317583" w:rsidP="0025199B">
      <w:pPr>
        <w:widowControl/>
        <w:tabs>
          <w:tab w:val="left" w:pos="1134"/>
        </w:tabs>
        <w:autoSpaceDE/>
        <w:adjustRightInd/>
        <w:jc w:val="both"/>
      </w:pPr>
    </w:p>
    <w:p w14:paraId="67F2EA70" w14:textId="6598BAC6" w:rsidR="003C66FE" w:rsidRDefault="003C66FE" w:rsidP="003D3BD3">
      <w:pPr>
        <w:pStyle w:val="Paragraphedeliste"/>
        <w:widowControl/>
        <w:numPr>
          <w:ilvl w:val="0"/>
          <w:numId w:val="1"/>
        </w:numPr>
        <w:tabs>
          <w:tab w:val="left" w:pos="1134"/>
        </w:tabs>
        <w:autoSpaceDE/>
        <w:adjustRightInd/>
        <w:ind w:left="0" w:firstLine="851"/>
        <w:jc w:val="both"/>
      </w:pPr>
      <w:r>
        <w:t>les surcoûts induits par la composition du remblai défaillant sous dalle correspondent à 234 079 euros au titre du vide sous dalle et 84 160 euros au titre du béton par injections ; les surcoûts pour forage P2 à P6 correspondent à la somme de 251 911 euros ; les surcoûts au titre des 80 heures supplémentaires de forage dues aux sols différents et au remblai induré correspondent à 200 450 euros ; les frais de chantier correspondent à 16,5 % du montant des travaux et l29 819 euros ;</w:t>
      </w:r>
    </w:p>
    <w:p w14:paraId="6D060643" w14:textId="3FB5CFDF" w:rsidR="00744BD9" w:rsidRDefault="00744BD9" w:rsidP="003D3BD3">
      <w:pPr>
        <w:pStyle w:val="NormalWeb"/>
        <w:tabs>
          <w:tab w:val="left" w:pos="1134"/>
        </w:tabs>
        <w:spacing w:before="0" w:beforeAutospacing="0" w:after="0" w:afterAutospacing="0"/>
        <w:ind w:firstLine="851"/>
        <w:jc w:val="both"/>
      </w:pPr>
      <w:r>
        <w:t>-</w:t>
      </w:r>
      <w:r>
        <w:rPr>
          <w:sz w:val="14"/>
          <w:szCs w:val="14"/>
        </w:rPr>
        <w:t xml:space="preserve"> </w:t>
      </w:r>
      <w:r>
        <w:t xml:space="preserve">l’article 3.8 du CCAP du marché n° MT3 ne fait pas obstacle à ce qu’elles puissent solliciter la rémunération </w:t>
      </w:r>
      <w:r w:rsidR="003C66FE">
        <w:t>de ces travaux</w:t>
      </w:r>
      <w:r>
        <w:t xml:space="preserve"> ; en effet, cette clause de </w:t>
      </w:r>
      <w:r>
        <w:rPr>
          <w:rStyle w:val="matchlocations"/>
        </w:rPr>
        <w:t>forclusion</w:t>
      </w:r>
      <w:r>
        <w:t xml:space="preserve"> ne peut pas s’appliquer, dès lors qu’aucun délai n’est déterminé</w:t>
      </w:r>
      <w:r w:rsidR="00BB6EB8">
        <w:t xml:space="preserve"> </w:t>
      </w:r>
      <w:r>
        <w:t xml:space="preserve">et qu’aucune action n’est précisée ; en outre, la commune intention des parties qui implique d’interpréter le contrat en conférant à celui-ci une cohérence d’ensemble comme le rappellent les articles 1188 et 1189 du code civil conduit à regarder cette clause comme l’expression d’un devoir de conseil qui s’apprécie comme une simple obligation de moyens ; ne sont donc sanctionnés que des manquements qui conduisent à une perte de chance d’éviter un risque auquel le maître d’ouvrage est exposé ; en tout état de cause, la région doit être regardée comme ayant renoncé à invoquer cette clause, dès lors qu’elle </w:t>
      </w:r>
      <w:r w:rsidR="003C66FE">
        <w:t xml:space="preserve">a rejeté </w:t>
      </w:r>
      <w:r>
        <w:t>leur réclamation sans opposer de telles stipulations</w:t>
      </w:r>
      <w:r w:rsidR="003C66FE">
        <w:t>.</w:t>
      </w:r>
    </w:p>
    <w:p w14:paraId="4F79BEB3" w14:textId="563D0E30" w:rsidR="00250DC5" w:rsidRDefault="00250DC5" w:rsidP="00BB6EB8">
      <w:pPr>
        <w:tabs>
          <w:tab w:val="left" w:pos="1134"/>
        </w:tabs>
      </w:pPr>
    </w:p>
    <w:p w14:paraId="7F562D69" w14:textId="77777777" w:rsidR="00BB6EB8" w:rsidRDefault="00BB6EB8" w:rsidP="003D3BD3">
      <w:pPr>
        <w:tabs>
          <w:tab w:val="left" w:pos="1134"/>
        </w:tabs>
      </w:pPr>
    </w:p>
    <w:p w14:paraId="0C95B917" w14:textId="086D65F8" w:rsidR="00250DC5" w:rsidRDefault="00250DC5" w:rsidP="00250DC5">
      <w:pPr>
        <w:widowControl/>
        <w:autoSpaceDE/>
        <w:adjustRightInd/>
        <w:ind w:firstLine="851"/>
        <w:jc w:val="both"/>
      </w:pPr>
      <w:r>
        <w:t>Par des mémoires en défense, enregistrés les</w:t>
      </w:r>
      <w:r w:rsidR="00725401">
        <w:t xml:space="preserve"> 9 janvier 2023, 26 avril 2023</w:t>
      </w:r>
      <w:r w:rsidR="00B5349A">
        <w:t>,</w:t>
      </w:r>
      <w:r w:rsidR="00725401">
        <w:t xml:space="preserve"> 22</w:t>
      </w:r>
      <w:r w:rsidR="004F58ED">
        <w:t> </w:t>
      </w:r>
      <w:r w:rsidR="00725401">
        <w:t>décembre 2023</w:t>
      </w:r>
      <w:r>
        <w:t xml:space="preserve">, </w:t>
      </w:r>
      <w:r w:rsidR="00B5349A">
        <w:t xml:space="preserve">15 octobre 2024 et le 7 novembre 2024 non communiqué, </w:t>
      </w:r>
      <w:r>
        <w:t xml:space="preserve">la région Réunion, représentée par Me </w:t>
      </w:r>
      <w:proofErr w:type="spellStart"/>
      <w:r>
        <w:t>K’Jan</w:t>
      </w:r>
      <w:proofErr w:type="spellEnd"/>
      <w:r>
        <w:t>, doit être regardée comme concluant :</w:t>
      </w:r>
    </w:p>
    <w:p w14:paraId="66EA5596" w14:textId="77777777" w:rsidR="00250DC5" w:rsidRDefault="00250DC5" w:rsidP="00250DC5">
      <w:pPr>
        <w:widowControl/>
        <w:autoSpaceDE/>
        <w:adjustRightInd/>
        <w:ind w:firstLine="851"/>
        <w:jc w:val="both"/>
      </w:pPr>
    </w:p>
    <w:p w14:paraId="46E2381A" w14:textId="77777777" w:rsidR="00250DC5" w:rsidRDefault="00250DC5" w:rsidP="00250DC5">
      <w:pPr>
        <w:pStyle w:val="NormalWeb"/>
        <w:spacing w:before="0" w:beforeAutospacing="0" w:after="0" w:afterAutospacing="0"/>
        <w:ind w:firstLine="851"/>
        <w:jc w:val="both"/>
      </w:pPr>
      <w:r>
        <w:t xml:space="preserve">1°) au rejet de la requête ; </w:t>
      </w:r>
    </w:p>
    <w:p w14:paraId="6F8F2AC3" w14:textId="77777777" w:rsidR="00250DC5" w:rsidRDefault="00250DC5" w:rsidP="00250DC5">
      <w:pPr>
        <w:pStyle w:val="NormalWeb"/>
        <w:spacing w:before="0" w:beforeAutospacing="0" w:after="0" w:afterAutospacing="0"/>
        <w:ind w:firstLine="851"/>
        <w:jc w:val="both"/>
      </w:pPr>
    </w:p>
    <w:p w14:paraId="62687B91" w14:textId="3D1C4BD5" w:rsidR="00250DC5" w:rsidRDefault="00250DC5" w:rsidP="00250DC5">
      <w:pPr>
        <w:pStyle w:val="NormalWeb"/>
        <w:spacing w:before="0" w:beforeAutospacing="0" w:after="0" w:afterAutospacing="0"/>
        <w:ind w:firstLine="851"/>
        <w:jc w:val="both"/>
      </w:pPr>
      <w:r>
        <w:t xml:space="preserve">2°) à ce que soit mise à la charge de la société Vinci Construction Grands Projets une somme de </w:t>
      </w:r>
      <w:r w:rsidR="007B2409">
        <w:t>9</w:t>
      </w:r>
      <w:r>
        <w:t xml:space="preserve"> 000 euros au titre </w:t>
      </w:r>
      <w:r w:rsidR="003A34F4">
        <w:t xml:space="preserve">des dispositions </w:t>
      </w:r>
      <w:r>
        <w:t>de l’article L. 761-1 du code de justice administrative.</w:t>
      </w:r>
    </w:p>
    <w:p w14:paraId="11E29353" w14:textId="77777777" w:rsidR="00317583" w:rsidRDefault="00317583" w:rsidP="00250DC5">
      <w:pPr>
        <w:pStyle w:val="NormalWeb"/>
        <w:spacing w:before="0" w:beforeAutospacing="0" w:after="0" w:afterAutospacing="0"/>
        <w:ind w:firstLine="851"/>
        <w:jc w:val="both"/>
      </w:pPr>
    </w:p>
    <w:p w14:paraId="74A4B937" w14:textId="77777777" w:rsidR="00317583" w:rsidRDefault="00317583" w:rsidP="00250DC5">
      <w:pPr>
        <w:pStyle w:val="NormalWeb"/>
        <w:spacing w:before="0" w:beforeAutospacing="0" w:after="0" w:afterAutospacing="0"/>
        <w:ind w:firstLine="851"/>
        <w:jc w:val="both"/>
      </w:pPr>
    </w:p>
    <w:p w14:paraId="44DBEC7D" w14:textId="5BD8E4D7" w:rsidR="00250DC5" w:rsidRDefault="00250DC5" w:rsidP="00250DC5">
      <w:pPr>
        <w:pStyle w:val="NormalWeb"/>
        <w:spacing w:before="0" w:beforeAutospacing="0" w:after="0" w:afterAutospacing="0"/>
        <w:ind w:firstLine="851"/>
        <w:jc w:val="both"/>
      </w:pPr>
      <w:r>
        <w:t>Elle fait valoir que :</w:t>
      </w:r>
    </w:p>
    <w:p w14:paraId="2ACFEA71" w14:textId="77777777" w:rsidR="00317583" w:rsidRDefault="00317583" w:rsidP="00250DC5">
      <w:pPr>
        <w:pStyle w:val="NormalWeb"/>
        <w:spacing w:before="0" w:beforeAutospacing="0" w:after="0" w:afterAutospacing="0"/>
        <w:ind w:firstLine="851"/>
        <w:jc w:val="both"/>
      </w:pPr>
    </w:p>
    <w:p w14:paraId="18369775" w14:textId="30A973A6" w:rsidR="003C66FE" w:rsidRDefault="00716757" w:rsidP="00716757">
      <w:pPr>
        <w:pStyle w:val="NormalWeb"/>
        <w:spacing w:before="0" w:beforeAutospacing="0" w:after="0" w:afterAutospacing="0"/>
        <w:ind w:firstLine="851"/>
        <w:jc w:val="both"/>
      </w:pPr>
      <w:r>
        <w:t xml:space="preserve">- à titre principal, les conclusions indemnitaires sont irrecevables au regard des règles de forclusion déterminées à l’article 3.8 du </w:t>
      </w:r>
      <w:r w:rsidR="003C66FE">
        <w:t>CCAP</w:t>
      </w:r>
      <w:r>
        <w:t xml:space="preserve"> du marché ;</w:t>
      </w:r>
    </w:p>
    <w:p w14:paraId="52E35306" w14:textId="461109F1" w:rsidR="00716757" w:rsidRDefault="003C66FE" w:rsidP="00716757">
      <w:pPr>
        <w:pStyle w:val="NormalWeb"/>
        <w:spacing w:before="0" w:beforeAutospacing="0" w:after="0" w:afterAutospacing="0"/>
        <w:ind w:firstLine="851"/>
        <w:jc w:val="both"/>
      </w:pPr>
      <w:bookmarkStart w:id="12" w:name="_Hlk189838360"/>
      <w:r>
        <w:t xml:space="preserve">- </w:t>
      </w:r>
      <w:r w:rsidR="00716757">
        <w:t>dès lors que les sociétés requérantes ont transmis un projet de décompte final dans lequel elles n’ont pas repris les demandes correspondant à celles réclamées dans la DRC E1, elles ne sont plus fondées à poursuivre leur action indemnitaire introduite devant le tribunal</w:t>
      </w:r>
      <w:r>
        <w:t xml:space="preserve"> </w:t>
      </w:r>
      <w:r w:rsidR="00716757">
        <w:t xml:space="preserve">; les conclusions tendant au versement de sommes non reprises dans le projet de décompte final ont </w:t>
      </w:r>
      <w:r>
        <w:t xml:space="preserve">ainsi </w:t>
      </w:r>
      <w:r w:rsidR="00716757">
        <w:t>perdu leur objet ;</w:t>
      </w:r>
    </w:p>
    <w:bookmarkEnd w:id="12"/>
    <w:p w14:paraId="75F4EB70" w14:textId="77777777" w:rsidR="00716757" w:rsidRDefault="00716757" w:rsidP="00716757">
      <w:pPr>
        <w:pStyle w:val="NormalWeb"/>
        <w:spacing w:before="0" w:beforeAutospacing="0" w:after="0" w:afterAutospacing="0"/>
        <w:ind w:firstLine="851"/>
        <w:jc w:val="both"/>
      </w:pPr>
      <w:r>
        <w:t>- à titre subsidiaire, aucun des moyens de la requête n’est fondé.</w:t>
      </w:r>
    </w:p>
    <w:p w14:paraId="4FF914DB" w14:textId="2E051D46" w:rsidR="00716757" w:rsidRDefault="00716757" w:rsidP="00716757">
      <w:pPr>
        <w:pStyle w:val="NormalWeb"/>
        <w:spacing w:before="0" w:beforeAutospacing="0" w:after="0" w:afterAutospacing="0"/>
        <w:ind w:firstLine="851"/>
        <w:jc w:val="both"/>
      </w:pPr>
    </w:p>
    <w:p w14:paraId="1540E451" w14:textId="77777777" w:rsidR="00B5349A" w:rsidRDefault="00B5349A" w:rsidP="00716757">
      <w:pPr>
        <w:pStyle w:val="NormalWeb"/>
        <w:spacing w:before="0" w:beforeAutospacing="0" w:after="0" w:afterAutospacing="0"/>
        <w:ind w:firstLine="851"/>
        <w:jc w:val="both"/>
      </w:pPr>
    </w:p>
    <w:p w14:paraId="21A2086D" w14:textId="016BA7BF" w:rsidR="00716757" w:rsidRDefault="00716757" w:rsidP="00716757">
      <w:pPr>
        <w:pStyle w:val="NormalWeb"/>
        <w:spacing w:before="0" w:beforeAutospacing="0" w:after="0" w:afterAutospacing="0"/>
        <w:ind w:firstLine="851"/>
        <w:jc w:val="both"/>
      </w:pPr>
      <w:r>
        <w:t>Par ordonnance du 18 octobre 2024 la clôture de l’instruction a été fixée, en dernier lieu, au 8 novembre 2024.</w:t>
      </w:r>
    </w:p>
    <w:p w14:paraId="1A0F0E33" w14:textId="6E627235" w:rsidR="00B5349A" w:rsidRDefault="00B5349A" w:rsidP="00716757">
      <w:pPr>
        <w:pStyle w:val="NormalWeb"/>
        <w:spacing w:before="0" w:beforeAutospacing="0" w:after="0" w:afterAutospacing="0"/>
        <w:ind w:firstLine="851"/>
        <w:jc w:val="both"/>
      </w:pPr>
    </w:p>
    <w:p w14:paraId="51C44594" w14:textId="71AE0F03" w:rsidR="00317583" w:rsidRDefault="00317583" w:rsidP="00716757">
      <w:pPr>
        <w:pStyle w:val="NormalWeb"/>
        <w:spacing w:before="0" w:beforeAutospacing="0" w:after="0" w:afterAutospacing="0"/>
        <w:ind w:firstLine="851"/>
        <w:jc w:val="both"/>
      </w:pPr>
    </w:p>
    <w:p w14:paraId="2EAC0B53" w14:textId="77777777" w:rsidR="00250DC5" w:rsidRDefault="00250DC5" w:rsidP="00250DC5"/>
    <w:p w14:paraId="193B3A75" w14:textId="77777777" w:rsidR="00250DC5" w:rsidRDefault="00250DC5" w:rsidP="00250DC5">
      <w:pPr>
        <w:pStyle w:val="NormalWeb"/>
        <w:spacing w:before="0" w:beforeAutospacing="0" w:after="0" w:afterAutospacing="0"/>
        <w:ind w:firstLine="851"/>
        <w:jc w:val="both"/>
      </w:pPr>
      <w:r>
        <w:t>Vu les autres pièces du dossier.</w:t>
      </w:r>
    </w:p>
    <w:p w14:paraId="103E630A" w14:textId="0ABE81E4" w:rsidR="00250DC5" w:rsidRDefault="00250DC5" w:rsidP="00250DC5">
      <w:pPr>
        <w:pStyle w:val="NormalWeb"/>
        <w:spacing w:before="0" w:beforeAutospacing="0" w:after="0" w:afterAutospacing="0"/>
        <w:ind w:firstLine="851"/>
      </w:pPr>
    </w:p>
    <w:p w14:paraId="6C8C2625" w14:textId="77777777" w:rsidR="00317583" w:rsidRDefault="00317583" w:rsidP="003A34F4">
      <w:pPr>
        <w:pStyle w:val="NormalWeb"/>
        <w:spacing w:before="0" w:beforeAutospacing="0" w:after="0" w:afterAutospacing="0"/>
        <w:ind w:firstLine="851"/>
        <w:jc w:val="both"/>
      </w:pPr>
    </w:p>
    <w:p w14:paraId="39B66D7D" w14:textId="77777777" w:rsidR="00317583" w:rsidRDefault="00317583" w:rsidP="003A34F4">
      <w:pPr>
        <w:pStyle w:val="NormalWeb"/>
        <w:spacing w:before="0" w:beforeAutospacing="0" w:after="0" w:afterAutospacing="0"/>
        <w:ind w:firstLine="851"/>
        <w:jc w:val="both"/>
      </w:pPr>
    </w:p>
    <w:p w14:paraId="18ED4E04" w14:textId="57A03FA4" w:rsidR="003A34F4" w:rsidRDefault="00250DC5" w:rsidP="003A34F4">
      <w:pPr>
        <w:pStyle w:val="NormalWeb"/>
        <w:spacing w:before="0" w:beforeAutospacing="0" w:after="0" w:afterAutospacing="0"/>
        <w:ind w:firstLine="851"/>
        <w:jc w:val="both"/>
      </w:pPr>
      <w:r>
        <w:t>Vu :</w:t>
      </w:r>
    </w:p>
    <w:p w14:paraId="25546DF5" w14:textId="77777777" w:rsidR="003A34F4" w:rsidRDefault="003A34F4" w:rsidP="003A34F4">
      <w:pPr>
        <w:pStyle w:val="NormalWeb"/>
        <w:spacing w:before="0" w:beforeAutospacing="0" w:after="0" w:afterAutospacing="0"/>
        <w:ind w:firstLine="851"/>
        <w:jc w:val="both"/>
      </w:pPr>
      <w:r>
        <w:t>- le code des marchés publics ;</w:t>
      </w:r>
    </w:p>
    <w:p w14:paraId="68B28984" w14:textId="77777777" w:rsidR="003A34F4" w:rsidRDefault="003A34F4" w:rsidP="003A34F4">
      <w:pPr>
        <w:pStyle w:val="NormalWeb"/>
        <w:spacing w:before="0" w:beforeAutospacing="0" w:after="0" w:afterAutospacing="0"/>
        <w:ind w:firstLine="851"/>
        <w:jc w:val="both"/>
      </w:pPr>
      <w:r>
        <w:t>- l’arrêté du 8 septembre 2009 portant approbation du cahier des clauses administratives générales applicables aux marchés publics de travaux ;</w:t>
      </w:r>
    </w:p>
    <w:p w14:paraId="36E1513A" w14:textId="77777777" w:rsidR="00250DC5" w:rsidRDefault="00250DC5" w:rsidP="00250DC5">
      <w:pPr>
        <w:pStyle w:val="NormalWeb"/>
        <w:spacing w:before="0" w:beforeAutospacing="0" w:after="0" w:afterAutospacing="0"/>
        <w:ind w:firstLine="851"/>
      </w:pPr>
      <w:r>
        <w:t>- le code de justice administrative.</w:t>
      </w:r>
    </w:p>
    <w:p w14:paraId="7CF5E27A" w14:textId="34B3D23A" w:rsidR="00250DC5" w:rsidRDefault="00250DC5" w:rsidP="00250DC5">
      <w:pPr>
        <w:pStyle w:val="NormalWeb"/>
        <w:spacing w:before="0" w:beforeAutospacing="0" w:after="0" w:afterAutospacing="0"/>
        <w:ind w:firstLine="851"/>
      </w:pPr>
    </w:p>
    <w:p w14:paraId="7194CD1D" w14:textId="5F205BB7" w:rsidR="00B5349A" w:rsidRDefault="00B5349A" w:rsidP="00250DC5">
      <w:pPr>
        <w:pStyle w:val="NormalWeb"/>
        <w:spacing w:before="0" w:beforeAutospacing="0" w:after="0" w:afterAutospacing="0"/>
        <w:ind w:firstLine="851"/>
      </w:pPr>
    </w:p>
    <w:p w14:paraId="7FFE5C4D" w14:textId="77777777" w:rsidR="00250DC5" w:rsidRDefault="00250DC5" w:rsidP="00250DC5">
      <w:pPr>
        <w:pStyle w:val="NormalWeb"/>
        <w:spacing w:before="0" w:beforeAutospacing="0" w:after="0" w:afterAutospacing="0"/>
        <w:ind w:firstLine="851"/>
        <w:jc w:val="both"/>
      </w:pPr>
      <w:r>
        <w:t>Les parties ont été régulièrement averties du jour de l’audience.</w:t>
      </w:r>
    </w:p>
    <w:p w14:paraId="5C27EB16" w14:textId="4F434EA4" w:rsidR="00250DC5" w:rsidRDefault="00250DC5" w:rsidP="00250DC5">
      <w:pPr>
        <w:pStyle w:val="NormalWeb"/>
        <w:spacing w:before="0" w:beforeAutospacing="0" w:after="0" w:afterAutospacing="0"/>
        <w:ind w:firstLine="851"/>
        <w:jc w:val="both"/>
      </w:pPr>
    </w:p>
    <w:p w14:paraId="642CD313" w14:textId="77777777" w:rsidR="00B5349A" w:rsidRDefault="00B5349A" w:rsidP="00250DC5">
      <w:pPr>
        <w:pStyle w:val="NormalWeb"/>
        <w:spacing w:before="0" w:beforeAutospacing="0" w:after="0" w:afterAutospacing="0"/>
        <w:ind w:firstLine="851"/>
        <w:jc w:val="both"/>
      </w:pPr>
    </w:p>
    <w:p w14:paraId="0272813D" w14:textId="77777777" w:rsidR="00250DC5" w:rsidRDefault="00250DC5" w:rsidP="00250DC5">
      <w:pPr>
        <w:pStyle w:val="NormalWeb"/>
        <w:spacing w:before="0" w:beforeAutospacing="0" w:after="0" w:afterAutospacing="0"/>
        <w:ind w:firstLine="851"/>
        <w:jc w:val="both"/>
      </w:pPr>
      <w:r>
        <w:t>Ont été entendus au cours de l’audience publique :</w:t>
      </w:r>
    </w:p>
    <w:p w14:paraId="7DD4B741" w14:textId="41EB574B" w:rsidR="00250DC5" w:rsidRDefault="00250DC5" w:rsidP="00250DC5">
      <w:pPr>
        <w:pStyle w:val="NormalWeb"/>
        <w:spacing w:before="0" w:beforeAutospacing="0" w:after="0" w:afterAutospacing="0"/>
        <w:ind w:firstLine="851"/>
        <w:jc w:val="both"/>
      </w:pPr>
      <w:r>
        <w:t xml:space="preserve">- le rapport de M. </w:t>
      </w:r>
      <w:proofErr w:type="spellStart"/>
      <w:r w:rsidR="00861921">
        <w:t>Lassaux</w:t>
      </w:r>
      <w:proofErr w:type="spellEnd"/>
      <w:r>
        <w:t xml:space="preserve">, premier conseiller, </w:t>
      </w:r>
    </w:p>
    <w:p w14:paraId="64873E5C" w14:textId="3977DCC3" w:rsidR="00250DC5" w:rsidRDefault="00250DC5" w:rsidP="00250DC5">
      <w:pPr>
        <w:pStyle w:val="NormalWeb"/>
        <w:spacing w:before="0" w:beforeAutospacing="0" w:after="0" w:afterAutospacing="0"/>
        <w:ind w:firstLine="851"/>
        <w:jc w:val="both"/>
      </w:pPr>
      <w:r>
        <w:t>- les conclusions de M</w:t>
      </w:r>
      <w:r w:rsidR="00861921">
        <w:t xml:space="preserve">. </w:t>
      </w:r>
      <w:proofErr w:type="spellStart"/>
      <w:r w:rsidR="00861921">
        <w:t>Felsenheld</w:t>
      </w:r>
      <w:proofErr w:type="spellEnd"/>
      <w:r>
        <w:t>, rapporteur</w:t>
      </w:r>
      <w:r w:rsidR="00861921">
        <w:t xml:space="preserve"> </w:t>
      </w:r>
      <w:r>
        <w:t>publi</w:t>
      </w:r>
      <w:r w:rsidR="00861921">
        <w:t>c</w:t>
      </w:r>
      <w:r>
        <w:t xml:space="preserve">, </w:t>
      </w:r>
    </w:p>
    <w:p w14:paraId="41F7A881" w14:textId="4CCD814C" w:rsidR="001928A3" w:rsidRPr="0072228B" w:rsidRDefault="00250DC5" w:rsidP="001928A3">
      <w:pPr>
        <w:widowControl/>
        <w:autoSpaceDE/>
        <w:autoSpaceDN/>
        <w:adjustRightInd/>
        <w:ind w:firstLine="851"/>
        <w:jc w:val="both"/>
        <w:rPr>
          <w:lang w:eastAsia="fr-FR"/>
        </w:rPr>
      </w:pPr>
      <w:r>
        <w:t>-</w:t>
      </w:r>
      <w:r w:rsidR="001928A3" w:rsidRPr="0072228B">
        <w:rPr>
          <w:lang w:eastAsia="fr-FR"/>
        </w:rPr>
        <w:t xml:space="preserve"> les observations de Me Balique et Me </w:t>
      </w:r>
      <w:r w:rsidR="001928A3">
        <w:rPr>
          <w:lang w:eastAsia="fr-FR"/>
        </w:rPr>
        <w:t xml:space="preserve">Couette substituant Me </w:t>
      </w:r>
      <w:r w:rsidR="001928A3" w:rsidRPr="0072228B">
        <w:rPr>
          <w:lang w:eastAsia="fr-FR"/>
        </w:rPr>
        <w:t>Cabanes, représentant les sociétés requérantes,</w:t>
      </w:r>
    </w:p>
    <w:p w14:paraId="5508344E" w14:textId="67ED82F4" w:rsidR="001928A3" w:rsidRDefault="001928A3" w:rsidP="001928A3">
      <w:pPr>
        <w:widowControl/>
        <w:autoSpaceDE/>
        <w:autoSpaceDN/>
        <w:adjustRightInd/>
        <w:ind w:firstLine="851"/>
        <w:jc w:val="both"/>
        <w:rPr>
          <w:lang w:eastAsia="fr-FR"/>
        </w:rPr>
      </w:pPr>
      <w:r w:rsidRPr="0072228B">
        <w:rPr>
          <w:lang w:eastAsia="fr-FR"/>
        </w:rPr>
        <w:t xml:space="preserve">- </w:t>
      </w:r>
      <w:r>
        <w:rPr>
          <w:lang w:eastAsia="fr-FR"/>
        </w:rPr>
        <w:t xml:space="preserve">et </w:t>
      </w:r>
      <w:r w:rsidRPr="0072228B">
        <w:rPr>
          <w:lang w:eastAsia="fr-FR"/>
        </w:rPr>
        <w:t xml:space="preserve">les observations de Me </w:t>
      </w:r>
      <w:proofErr w:type="spellStart"/>
      <w:r w:rsidRPr="0072228B">
        <w:rPr>
          <w:lang w:eastAsia="fr-FR"/>
        </w:rPr>
        <w:t>K’Jan</w:t>
      </w:r>
      <w:proofErr w:type="spellEnd"/>
      <w:r w:rsidRPr="0072228B">
        <w:rPr>
          <w:lang w:eastAsia="fr-FR"/>
        </w:rPr>
        <w:t>, représentant la région Réunion</w:t>
      </w:r>
      <w:r w:rsidR="00D90E4D">
        <w:rPr>
          <w:lang w:eastAsia="fr-FR"/>
        </w:rPr>
        <w:t>.</w:t>
      </w:r>
    </w:p>
    <w:p w14:paraId="33704908" w14:textId="02E6191B" w:rsidR="00250DC5" w:rsidRDefault="00250DC5" w:rsidP="00250DC5">
      <w:pPr>
        <w:pStyle w:val="NormalWeb"/>
        <w:spacing w:before="0" w:beforeAutospacing="0" w:after="0" w:afterAutospacing="0"/>
        <w:ind w:firstLine="851"/>
        <w:jc w:val="both"/>
      </w:pPr>
    </w:p>
    <w:p w14:paraId="4BC787B9" w14:textId="705DE6CA" w:rsidR="00250DC5" w:rsidRDefault="00250DC5" w:rsidP="00250DC5">
      <w:pPr>
        <w:widowControl/>
        <w:tabs>
          <w:tab w:val="left" w:pos="142"/>
        </w:tabs>
        <w:autoSpaceDE/>
        <w:adjustRightInd/>
        <w:ind w:firstLine="851"/>
        <w:jc w:val="both"/>
        <w:rPr>
          <w:rStyle w:val="normal--char"/>
          <w:u w:val="single"/>
        </w:rPr>
      </w:pPr>
    </w:p>
    <w:p w14:paraId="7E8F6089" w14:textId="78E62D76" w:rsidR="00317583" w:rsidRDefault="00317583" w:rsidP="00250DC5">
      <w:pPr>
        <w:widowControl/>
        <w:tabs>
          <w:tab w:val="left" w:pos="142"/>
        </w:tabs>
        <w:autoSpaceDE/>
        <w:adjustRightInd/>
        <w:ind w:firstLine="851"/>
        <w:jc w:val="both"/>
        <w:rPr>
          <w:rStyle w:val="normal--char"/>
          <w:u w:val="single"/>
        </w:rPr>
      </w:pPr>
    </w:p>
    <w:p w14:paraId="316AF45D" w14:textId="77777777" w:rsidR="00317583" w:rsidRDefault="00317583" w:rsidP="00250DC5">
      <w:pPr>
        <w:widowControl/>
        <w:tabs>
          <w:tab w:val="left" w:pos="142"/>
        </w:tabs>
        <w:autoSpaceDE/>
        <w:adjustRightInd/>
        <w:ind w:firstLine="851"/>
        <w:jc w:val="both"/>
        <w:rPr>
          <w:rStyle w:val="normal--char"/>
          <w:u w:val="single"/>
        </w:rPr>
      </w:pPr>
    </w:p>
    <w:p w14:paraId="40AE9641" w14:textId="77777777" w:rsidR="00250DC5" w:rsidRDefault="00250DC5" w:rsidP="00250DC5">
      <w:pPr>
        <w:pStyle w:val="Normal1"/>
        <w:tabs>
          <w:tab w:val="left" w:pos="142"/>
        </w:tabs>
        <w:spacing w:before="0" w:beforeAutospacing="0" w:after="0" w:afterAutospacing="0"/>
        <w:ind w:firstLine="851"/>
        <w:jc w:val="both"/>
        <w:rPr>
          <w:rStyle w:val="normal--char"/>
        </w:rPr>
      </w:pPr>
      <w:r>
        <w:rPr>
          <w:rStyle w:val="normal--char"/>
        </w:rPr>
        <w:t>Considérant ce qui suit :</w:t>
      </w:r>
    </w:p>
    <w:p w14:paraId="04C7117C" w14:textId="6F2D6E39" w:rsidR="00250DC5" w:rsidRDefault="00250DC5" w:rsidP="00250DC5">
      <w:pPr>
        <w:pStyle w:val="Normal1"/>
        <w:tabs>
          <w:tab w:val="left" w:pos="142"/>
        </w:tabs>
        <w:spacing w:before="0" w:beforeAutospacing="0" w:after="0" w:afterAutospacing="0"/>
        <w:ind w:firstLine="851"/>
        <w:jc w:val="both"/>
        <w:rPr>
          <w:rStyle w:val="normal--char"/>
        </w:rPr>
      </w:pPr>
    </w:p>
    <w:p w14:paraId="3CEA63C3" w14:textId="77777777" w:rsidR="00317583" w:rsidRDefault="00317583" w:rsidP="00250DC5">
      <w:pPr>
        <w:pStyle w:val="Normal1"/>
        <w:tabs>
          <w:tab w:val="left" w:pos="142"/>
        </w:tabs>
        <w:spacing w:before="0" w:beforeAutospacing="0" w:after="0" w:afterAutospacing="0"/>
        <w:ind w:firstLine="851"/>
        <w:jc w:val="both"/>
        <w:rPr>
          <w:rStyle w:val="normal--char"/>
        </w:rPr>
      </w:pPr>
    </w:p>
    <w:p w14:paraId="15B845F6" w14:textId="50548506" w:rsidR="006C117E" w:rsidRDefault="00250DC5" w:rsidP="003D3BD3">
      <w:pPr>
        <w:pStyle w:val="Normal1"/>
        <w:numPr>
          <w:ilvl w:val="0"/>
          <w:numId w:val="2"/>
        </w:numPr>
        <w:tabs>
          <w:tab w:val="left" w:pos="142"/>
          <w:tab w:val="left" w:pos="1134"/>
        </w:tabs>
        <w:spacing w:before="0" w:beforeAutospacing="0" w:after="0" w:afterAutospacing="0"/>
        <w:ind w:left="0" w:firstLine="851"/>
        <w:jc w:val="both"/>
      </w:pPr>
      <w:r>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la région Réunion a confié au groupement solidaire composé de </w:t>
      </w:r>
      <w:r>
        <w:t xml:space="preserve">la société Vinci Construction Grands Projets, la société Bouygues Travaux </w:t>
      </w:r>
      <w:r w:rsidRPr="00716757">
        <w:t xml:space="preserve">Publics, la société </w:t>
      </w:r>
      <w:proofErr w:type="spellStart"/>
      <w:r w:rsidRPr="00716757">
        <w:t>Dodin</w:t>
      </w:r>
      <w:proofErr w:type="spellEnd"/>
      <w:r w:rsidRPr="00716757">
        <w:t xml:space="preserve"> </w:t>
      </w:r>
      <w:proofErr w:type="spellStart"/>
      <w:r w:rsidRPr="00716757">
        <w:t>Campenon</w:t>
      </w:r>
      <w:proofErr w:type="spellEnd"/>
      <w:r w:rsidRPr="00716757">
        <w:t xml:space="preserve"> Bernard et la société Demathieu Bard Construction</w:t>
      </w:r>
      <w:r w:rsidRPr="006036DC">
        <w:rPr>
          <w:rStyle w:val="normal--char"/>
        </w:rPr>
        <w:t xml:space="preserve"> la réalisation du marché n°</w:t>
      </w:r>
      <w:r w:rsidR="00B5349A">
        <w:rPr>
          <w:rStyle w:val="normal--char"/>
        </w:rPr>
        <w:t xml:space="preserve"> </w:t>
      </w:r>
      <w:r w:rsidRPr="006036DC">
        <w:rPr>
          <w:rStyle w:val="normal--char"/>
        </w:rPr>
        <w:t xml:space="preserve">MT3 portant sur la réalisation d’un viaduc de 5 400 mètres entre la Grande Chaloupe et Saint-Denis </w:t>
      </w:r>
      <w:r w:rsidRPr="00716757">
        <w:rPr>
          <w:color w:val="000000"/>
        </w:rPr>
        <w:t xml:space="preserve">pour un montant </w:t>
      </w:r>
      <w:r w:rsidRPr="00716757">
        <w:rPr>
          <w:rStyle w:val="normal--char"/>
        </w:rPr>
        <w:t>de 715 690 332,87 euros toutes taxes comprises</w:t>
      </w:r>
      <w:r w:rsidRPr="003C66FE">
        <w:rPr>
          <w:rStyle w:val="normal--char"/>
        </w:rPr>
        <w:t xml:space="preserve">. Le </w:t>
      </w:r>
      <w:r w:rsidR="007B2409" w:rsidRPr="003C66FE">
        <w:rPr>
          <w:rStyle w:val="normal--char"/>
        </w:rPr>
        <w:t>5 décembre 2018</w:t>
      </w:r>
      <w:r w:rsidRPr="003C66FE">
        <w:rPr>
          <w:rStyle w:val="normal--char"/>
        </w:rPr>
        <w:t>, le groupement a adressé à la région un mémoire en réclamation</w:t>
      </w:r>
      <w:r w:rsidR="007B2409" w:rsidRPr="003C66FE">
        <w:rPr>
          <w:rStyle w:val="normal--char"/>
        </w:rPr>
        <w:t xml:space="preserve"> DRC E1</w:t>
      </w:r>
      <w:r w:rsidRPr="003C66FE">
        <w:rPr>
          <w:rStyle w:val="normal--char"/>
        </w:rPr>
        <w:t xml:space="preserve">, d’un montant total de </w:t>
      </w:r>
      <w:r w:rsidR="007B2409" w:rsidRPr="003C66FE">
        <w:t>7 012 845</w:t>
      </w:r>
      <w:r w:rsidR="00B5349A">
        <w:t> </w:t>
      </w:r>
      <w:r w:rsidRPr="003C66FE">
        <w:t>euros hors taxes</w:t>
      </w:r>
      <w:r w:rsidRPr="003C66FE">
        <w:rPr>
          <w:rStyle w:val="normal--char"/>
        </w:rPr>
        <w:t>, portant sur l’indemnisation</w:t>
      </w:r>
      <w:r w:rsidR="007B2409" w:rsidRPr="003C66FE">
        <w:t xml:space="preserve"> de l’impact de la modification des dispositions constructives portant sur </w:t>
      </w:r>
      <w:r w:rsidR="003A34F4" w:rsidRPr="003C66FE">
        <w:t>la</w:t>
      </w:r>
      <w:r w:rsidR="007B2409" w:rsidRPr="003C66FE">
        <w:t xml:space="preserve"> réalisation des fondations par pieux de la culée C49 par voie terrestre</w:t>
      </w:r>
      <w:r w:rsidR="008363E8">
        <w:t>.</w:t>
      </w:r>
      <w:r w:rsidR="007B2409" w:rsidRPr="00716757">
        <w:t xml:space="preserve"> Par un avenant n°</w:t>
      </w:r>
      <w:r w:rsidR="004F58ED">
        <w:t xml:space="preserve"> </w:t>
      </w:r>
      <w:r w:rsidR="007B2409" w:rsidRPr="00716757">
        <w:t xml:space="preserve">3 du 20 octobre 2020, a accepté de prendre en charge le coût de modification des fondations de la culée C49 par voie terrestre à hauteur de la somme globale de 6 462 724,80 euros </w:t>
      </w:r>
      <w:r w:rsidR="003A34F4" w:rsidRPr="00716757">
        <w:t>hors taxes</w:t>
      </w:r>
      <w:r w:rsidRPr="00716757">
        <w:t xml:space="preserve">. La société Vinci Construction Grands Projets, la société Bouygues Travaux Publics, la société </w:t>
      </w:r>
      <w:proofErr w:type="spellStart"/>
      <w:r w:rsidRPr="00716757">
        <w:t>Dodin</w:t>
      </w:r>
      <w:proofErr w:type="spellEnd"/>
      <w:r w:rsidRPr="00716757">
        <w:t xml:space="preserve"> </w:t>
      </w:r>
      <w:proofErr w:type="spellStart"/>
      <w:r w:rsidRPr="00716757">
        <w:t>Campenon</w:t>
      </w:r>
      <w:proofErr w:type="spellEnd"/>
      <w:r w:rsidRPr="00716757">
        <w:t xml:space="preserve"> Bernard et la société Demathieu Bard Construction demandent, dans le d</w:t>
      </w:r>
      <w:r>
        <w:t xml:space="preserve">ernier état de leurs écritures, la condamnation de la région Réunion à leur verser </w:t>
      </w:r>
      <w:r w:rsidR="007B2409">
        <w:t>la somme de 895 419 euros hors taxes</w:t>
      </w:r>
      <w:r>
        <w:t>.</w:t>
      </w:r>
    </w:p>
    <w:p w14:paraId="6D0AD7AC" w14:textId="5D775A2F" w:rsidR="006C117E" w:rsidRDefault="006C117E" w:rsidP="006C117E">
      <w:pPr>
        <w:pStyle w:val="Normal1"/>
        <w:tabs>
          <w:tab w:val="left" w:pos="142"/>
        </w:tabs>
        <w:spacing w:before="0" w:beforeAutospacing="0" w:after="0" w:afterAutospacing="0"/>
        <w:ind w:left="851"/>
        <w:jc w:val="both"/>
      </w:pPr>
    </w:p>
    <w:p w14:paraId="46CBA500" w14:textId="77777777" w:rsidR="00317583" w:rsidRDefault="00317583" w:rsidP="006C117E">
      <w:pPr>
        <w:pStyle w:val="Normal1"/>
        <w:tabs>
          <w:tab w:val="left" w:pos="142"/>
        </w:tabs>
        <w:spacing w:before="0" w:beforeAutospacing="0" w:after="0" w:afterAutospacing="0"/>
        <w:ind w:left="851"/>
        <w:jc w:val="both"/>
      </w:pPr>
    </w:p>
    <w:p w14:paraId="21AA21A3" w14:textId="5960AE48" w:rsidR="002145F6" w:rsidRDefault="002145F6" w:rsidP="006C117E">
      <w:pPr>
        <w:pStyle w:val="Normal1"/>
        <w:tabs>
          <w:tab w:val="left" w:pos="142"/>
        </w:tabs>
        <w:spacing w:before="0" w:beforeAutospacing="0" w:after="0" w:afterAutospacing="0"/>
        <w:ind w:left="851"/>
        <w:jc w:val="both"/>
      </w:pPr>
      <w:r w:rsidRPr="006C117E">
        <w:rPr>
          <w:u w:val="single"/>
        </w:rPr>
        <w:t>Sur les conclusions indemnitaires</w:t>
      </w:r>
      <w:r>
        <w:t> :</w:t>
      </w:r>
    </w:p>
    <w:p w14:paraId="17B54094" w14:textId="77777777" w:rsidR="001F44B5" w:rsidRPr="00CC39EC" w:rsidRDefault="001F44B5" w:rsidP="00CC39EC">
      <w:pPr>
        <w:widowControl/>
        <w:autoSpaceDE/>
        <w:autoSpaceDN/>
        <w:adjustRightInd/>
        <w:jc w:val="both"/>
        <w:rPr>
          <w:lang w:eastAsia="fr-FR"/>
        </w:rPr>
      </w:pPr>
    </w:p>
    <w:p w14:paraId="5603E85E" w14:textId="4B361FF4" w:rsidR="001F44B5" w:rsidRPr="00716757" w:rsidRDefault="001F44B5" w:rsidP="003D3BD3">
      <w:pPr>
        <w:pStyle w:val="Normal1"/>
        <w:numPr>
          <w:ilvl w:val="0"/>
          <w:numId w:val="2"/>
        </w:numPr>
        <w:tabs>
          <w:tab w:val="left" w:pos="142"/>
          <w:tab w:val="left" w:pos="1134"/>
        </w:tabs>
        <w:spacing w:before="0" w:beforeAutospacing="0" w:after="0" w:afterAutospacing="0"/>
        <w:ind w:left="0" w:firstLine="851"/>
        <w:jc w:val="both"/>
        <w:rPr>
          <w:color w:val="000000"/>
        </w:rPr>
      </w:pPr>
      <w:r>
        <w:t xml:space="preserve">Aux </w:t>
      </w:r>
      <w:r w:rsidRPr="00CC39EC">
        <w:t xml:space="preserve">termes de l’article 13.3 du cahier des clauses administratives générales applicable au marché de travaux litigieux </w:t>
      </w:r>
      <w:r w:rsidR="008363E8">
        <w:t xml:space="preserve">(CCAG Travaux) </w:t>
      </w:r>
      <w:r w:rsidRPr="00CC39EC">
        <w:t xml:space="preserve">: </w:t>
      </w:r>
      <w:r w:rsidRPr="006920C9">
        <w:rPr>
          <w:i/>
          <w:iCs/>
        </w:rPr>
        <w:t>«</w:t>
      </w:r>
      <w:r w:rsidR="006920C9" w:rsidRPr="006920C9">
        <w:rPr>
          <w:i/>
          <w:iCs/>
        </w:rPr>
        <w:t xml:space="preserve"> Demande de paiement finale :13. 3. 1. Après l'achèvement des travaux, un projet de décompte final est établi concurremment </w:t>
      </w:r>
      <w:r w:rsidR="006920C9" w:rsidRPr="006920C9">
        <w:rPr>
          <w:i/>
          <w:iCs/>
        </w:rPr>
        <w:lastRenderedPageBreak/>
        <w:t>avec le projet de décompte mensuel afférent au dernier mois d'exécution des prestations ou à la place de ce dernier. / Ce projet de décompte final est la demande de paiement finale du titulaire, établissant le montant total des sommes auquel le titulaire prétend du fait de l'exécution du marché dans son ensemble, son évaluation étant faite en tenant compte des prestations réellement exécutées. / Le projet de décompte final est établi à partir des prix initiaux du marché comme les projets de décomptes mensuels et comporte les mêmes parties que ceux-ci, à l'exception des approvisionnements et des avances. Ce projet est accompagné des éléments et pièces mentionnés à l'article 13. 1. 7 s'ils n'ont pas été précédemment fournis.13</w:t>
      </w:r>
      <w:r w:rsidR="00BB6EB8">
        <w:rPr>
          <w:i/>
          <w:iCs/>
        </w:rPr>
        <w:t> </w:t>
      </w:r>
      <w:r w:rsidR="006920C9" w:rsidRPr="006920C9">
        <w:rPr>
          <w:i/>
          <w:iCs/>
        </w:rPr>
        <w:t xml:space="preserve"> 3. 2. Le titulaire transmet son projet de décompte final au maître d'œuvre, par tout moyen permettant de donner une date certaine, dans le délai de quarante-cinq jours à compter de la date de notification de la décision de réception des travaux telle qu'elle est prévue à l'article 41. 3 ou, en l'absence d'un</w:t>
      </w:r>
      <w:r w:rsidR="00BB6EB8">
        <w:rPr>
          <w:i/>
          <w:iCs/>
        </w:rPr>
        <w:t>e</w:t>
      </w:r>
      <w:r w:rsidR="006920C9" w:rsidRPr="006920C9">
        <w:rPr>
          <w:i/>
          <w:iCs/>
        </w:rPr>
        <w:t xml:space="preserve"> telle notification, à la fin de l'un des délais de trente jours fixés aux articles 41. 1. 3 et 41. 3. / Toutefois, s'il est fait application des dispositions de l'article 41. 5, la date du procès-verbal constatant l'exécution des travaux visés à cet article est substituée à la date de notification de la décision de réception des travaux comme point de départ des délais ci-</w:t>
      </w:r>
      <w:proofErr w:type="gramStart"/>
      <w:r w:rsidR="006920C9" w:rsidRPr="006920C9">
        <w:rPr>
          <w:i/>
          <w:iCs/>
        </w:rPr>
        <w:t>dessus./</w:t>
      </w:r>
      <w:proofErr w:type="gramEnd"/>
      <w:r w:rsidR="006920C9" w:rsidRPr="006920C9">
        <w:rPr>
          <w:i/>
          <w:iCs/>
        </w:rPr>
        <w:t xml:space="preserve"> S'il est fait application des dispositions de l'article 41. 6, la date de notification de la décision de réception des travaux est la date retenue comme point de départ des délais ci-dessus. </w:t>
      </w:r>
      <w:r w:rsidR="006920C9">
        <w:rPr>
          <w:i/>
          <w:iCs/>
        </w:rPr>
        <w:t xml:space="preserve">/ </w:t>
      </w:r>
      <w:r w:rsidR="006920C9" w:rsidRPr="006920C9">
        <w:rPr>
          <w:i/>
          <w:iCs/>
        </w:rPr>
        <w:t>En cas de retard dans la transmission du projet de décompte final par le titulaire, et après mise en demeure restée sans effet, le maître d'œuvre établit d'office le décompte final aux frais du titulaire. Ce décompte final est alors notifié au titulaire avec le décompte général tel que défini à l'article 13. 4. / 13. 3. 3. Le titulaire est lié par les indications figurant au projet de décompte final</w:t>
      </w:r>
      <w:r w:rsidR="001D6B4D">
        <w:rPr>
          <w:i/>
          <w:iCs/>
        </w:rPr>
        <w:t xml:space="preserve"> </w:t>
      </w:r>
      <w:r w:rsidRPr="006920C9">
        <w:rPr>
          <w:i/>
          <w:iCs/>
        </w:rPr>
        <w:t>»</w:t>
      </w:r>
      <w:r w:rsidRPr="006920C9">
        <w:t>.</w:t>
      </w:r>
      <w:r w:rsidRPr="002D0D57">
        <w:rPr>
          <w:i/>
          <w:iCs/>
        </w:rPr>
        <w:t xml:space="preserve"> </w:t>
      </w:r>
      <w:r w:rsidRPr="001F44B5">
        <w:t>Aux termes de l’article 48 du même cahier :</w:t>
      </w:r>
      <w:r>
        <w:rPr>
          <w:i/>
          <w:iCs/>
        </w:rPr>
        <w:t xml:space="preserve"> « </w:t>
      </w:r>
      <w:r w:rsidRPr="002A2944">
        <w:rPr>
          <w:i/>
          <w:iCs/>
        </w:rPr>
        <w:t>48.4. En cas de résiliation aux frais et risques du titulaire, les mesures prises en application de l'article 48.3 sont à la charge de celui-ci. Pour l'achèvement des travaux conformément à la réglementation en vigueur, il est passé un marché avec un autre entrepreneur. Ce marché de substitution est transmis pour information au titulaire défaillant. Par exception aux dispositions de l'article 13.4.2, le décompte général du marché résilié ne sera notifié au titulaire qu'après règlement définitif du nouveau marché passé pour l'achèvement des travaux.</w:t>
      </w:r>
      <w:r>
        <w:rPr>
          <w:i/>
          <w:iCs/>
        </w:rPr>
        <w:t> »</w:t>
      </w:r>
      <w:r w:rsidR="00716757">
        <w:rPr>
          <w:i/>
          <w:iCs/>
        </w:rPr>
        <w:t xml:space="preserve">. </w:t>
      </w:r>
      <w:r w:rsidR="00716757" w:rsidRPr="003C66FE">
        <w:t>Il résulte de ces stipulations que le titulaire</w:t>
      </w:r>
      <w:r w:rsidR="00716757" w:rsidRPr="00716757">
        <w:t xml:space="preserve"> du marché</w:t>
      </w:r>
      <w:r w:rsidR="00716757">
        <w:t xml:space="preserve"> est ten</w:t>
      </w:r>
      <w:r w:rsidR="006036DC">
        <w:t>u</w:t>
      </w:r>
      <w:r w:rsidR="00652AFB">
        <w:t xml:space="preserve">, sauf à ce que sa demande soit considérée comme dépourvue d’objet, </w:t>
      </w:r>
      <w:r w:rsidR="00716757" w:rsidRPr="00716757">
        <w:t xml:space="preserve">de faire figurer dans le </w:t>
      </w:r>
      <w:r w:rsidR="00716757" w:rsidRPr="00716757">
        <w:rPr>
          <w:rStyle w:val="matchlocations"/>
        </w:rPr>
        <w:t>projet de décompte final</w:t>
      </w:r>
      <w:r w:rsidR="00716757" w:rsidRPr="00716757">
        <w:t xml:space="preserve"> l’ensemble des montants dont </w:t>
      </w:r>
      <w:r w:rsidR="00716757">
        <w:t xml:space="preserve">il </w:t>
      </w:r>
      <w:r w:rsidR="00716757" w:rsidRPr="00716757">
        <w:t>entend demander le paiement.</w:t>
      </w:r>
    </w:p>
    <w:p w14:paraId="38D4B4C5" w14:textId="77777777" w:rsidR="001F44B5" w:rsidRPr="001F44B5" w:rsidRDefault="001F44B5" w:rsidP="001F44B5">
      <w:pPr>
        <w:pStyle w:val="Normal1"/>
        <w:tabs>
          <w:tab w:val="left" w:pos="142"/>
        </w:tabs>
        <w:spacing w:before="0" w:beforeAutospacing="0" w:after="0" w:afterAutospacing="0"/>
        <w:ind w:left="851"/>
        <w:jc w:val="both"/>
        <w:rPr>
          <w:color w:val="000000"/>
        </w:rPr>
      </w:pPr>
    </w:p>
    <w:p w14:paraId="1706FC1B" w14:textId="393F7B95" w:rsidR="00BB490F" w:rsidRPr="00BB490F" w:rsidRDefault="001F44B5" w:rsidP="003D3BD3">
      <w:pPr>
        <w:pStyle w:val="Normal1"/>
        <w:numPr>
          <w:ilvl w:val="0"/>
          <w:numId w:val="2"/>
        </w:numPr>
        <w:tabs>
          <w:tab w:val="left" w:pos="142"/>
          <w:tab w:val="left" w:pos="1134"/>
        </w:tabs>
        <w:spacing w:before="0" w:beforeAutospacing="0" w:after="0" w:afterAutospacing="0"/>
        <w:ind w:left="0" w:firstLine="851"/>
        <w:jc w:val="both"/>
        <w:rPr>
          <w:color w:val="000000"/>
        </w:rPr>
      </w:pPr>
      <w:r>
        <w:rPr>
          <w:color w:val="000000"/>
        </w:rPr>
        <w:t>Il</w:t>
      </w:r>
      <w:r w:rsidRPr="00CC39EC">
        <w:t xml:space="preserve"> résulte de l’instruction que</w:t>
      </w:r>
      <w:r>
        <w:t xml:space="preserve"> les sociétés requérantes</w:t>
      </w:r>
      <w:r w:rsidRPr="00CC39EC">
        <w:t xml:space="preserve">, dans </w:t>
      </w:r>
      <w:r>
        <w:t xml:space="preserve">leur </w:t>
      </w:r>
      <w:r w:rsidRPr="00CC39EC">
        <w:t>projet de décompte final</w:t>
      </w:r>
      <w:r>
        <w:t xml:space="preserve"> transmis le 15 juillet 2021 n’ont pas repris le montant de leur contestation au titre de la DRC E1 indiquant un montant nul à ce titre. Dès l</w:t>
      </w:r>
      <w:r w:rsidR="00BB490F">
        <w:t>or</w:t>
      </w:r>
      <w:r>
        <w:t>s qu’un avenant n</w:t>
      </w:r>
      <w:r w:rsidR="00577A56">
        <w:t>°</w:t>
      </w:r>
      <w:r>
        <w:t xml:space="preserve">3 du 20 octobre 2020, est venu clore en partie le différend ainsi élevé comme le précise l’article 8 dudit avenant, il </w:t>
      </w:r>
      <w:r w:rsidRPr="00CC39EC">
        <w:t xml:space="preserve">ne résulte pas de l’instruction que </w:t>
      </w:r>
      <w:r>
        <w:t>cette absence de reprise de l’ensemble des contestation</w:t>
      </w:r>
      <w:r w:rsidR="003A34F4">
        <w:t>s</w:t>
      </w:r>
      <w:r>
        <w:t xml:space="preserve"> de la DRC E1 </w:t>
      </w:r>
      <w:r w:rsidRPr="00CC39EC">
        <w:t xml:space="preserve">correspondrait à une erreur ou </w:t>
      </w:r>
      <w:proofErr w:type="gramStart"/>
      <w:r w:rsidRPr="00CC39EC">
        <w:t>une omission purement matérielles</w:t>
      </w:r>
      <w:proofErr w:type="gramEnd"/>
      <w:r w:rsidRPr="00CC39EC">
        <w:t xml:space="preserve"> qui seraient de nature à permettre une révision </w:t>
      </w:r>
      <w:r w:rsidR="003A34F4">
        <w:t xml:space="preserve">du </w:t>
      </w:r>
      <w:r>
        <w:t xml:space="preserve">projet </w:t>
      </w:r>
      <w:r w:rsidRPr="00CC39EC">
        <w:t>du décompte final</w:t>
      </w:r>
      <w:r>
        <w:t>.</w:t>
      </w:r>
      <w:r w:rsidR="00BB490F">
        <w:t xml:space="preserve"> </w:t>
      </w:r>
    </w:p>
    <w:p w14:paraId="02024D89" w14:textId="77777777" w:rsidR="00BB490F" w:rsidRDefault="00BB490F" w:rsidP="00BB490F">
      <w:pPr>
        <w:pStyle w:val="Paragraphedeliste"/>
      </w:pPr>
    </w:p>
    <w:p w14:paraId="49AC2087" w14:textId="1A8CF93E" w:rsidR="00BB490F" w:rsidRPr="00BB490F" w:rsidRDefault="001F44B5" w:rsidP="003D3BD3">
      <w:pPr>
        <w:pStyle w:val="Normal1"/>
        <w:numPr>
          <w:ilvl w:val="0"/>
          <w:numId w:val="2"/>
        </w:numPr>
        <w:tabs>
          <w:tab w:val="left" w:pos="142"/>
          <w:tab w:val="left" w:pos="1134"/>
        </w:tabs>
        <w:spacing w:before="0" w:beforeAutospacing="0" w:after="0" w:afterAutospacing="0"/>
        <w:ind w:left="0" w:firstLine="851"/>
        <w:jc w:val="both"/>
        <w:rPr>
          <w:color w:val="000000"/>
        </w:rPr>
      </w:pPr>
      <w:r>
        <w:t xml:space="preserve">Par ailleurs, si les sociétés requérantes soutiennent pour les besoins de la cause que le projet de décompte final serait prématuré et ne les lie pas au motif qu’il aurait été transmis alors que les travaux avaient </w:t>
      </w:r>
      <w:r w:rsidR="003A34F4">
        <w:t xml:space="preserve">été </w:t>
      </w:r>
      <w:r>
        <w:t xml:space="preserve">mis </w:t>
      </w:r>
      <w:r w:rsidR="00BB490F">
        <w:t>en</w:t>
      </w:r>
      <w:r>
        <w:t xml:space="preserve"> régie à leur frais et risques, cette mise en régie n’a pas </w:t>
      </w:r>
      <w:r w:rsidR="003A34F4">
        <w:t xml:space="preserve">eu </w:t>
      </w:r>
      <w:r>
        <w:t>pour effet de conférer au projet de dé</w:t>
      </w:r>
      <w:r w:rsidR="00BB490F">
        <w:t>co</w:t>
      </w:r>
      <w:r>
        <w:t xml:space="preserve">mpte final un caractère prématuré mais seulement </w:t>
      </w:r>
      <w:r w:rsidR="003A34F4">
        <w:t xml:space="preserve">de </w:t>
      </w:r>
      <w:r>
        <w:t>reporter l’établissement du décompte général par le maître d’ouvrage au règlement définitif</w:t>
      </w:r>
      <w:r w:rsidRPr="00CC39EC">
        <w:t xml:space="preserve"> </w:t>
      </w:r>
      <w:r>
        <w:t xml:space="preserve">des travaux de substitution. </w:t>
      </w:r>
      <w:r w:rsidR="00BB490F">
        <w:t>La convention de conciliation conclue entre les parties le 16 février 2022 qui stipule à son article 11 que la région Réunion suspend le temps de la conciliation</w:t>
      </w:r>
      <w:r w:rsidR="003A34F4">
        <w:t>,</w:t>
      </w:r>
      <w:r w:rsidR="00BB490F">
        <w:t xml:space="preserve"> la notification du décompte général du marché MT3 n’a </w:t>
      </w:r>
      <w:r w:rsidR="008363E8">
        <w:t xml:space="preserve">pas </w:t>
      </w:r>
      <w:r w:rsidR="00BB490F">
        <w:t xml:space="preserve">davantage </w:t>
      </w:r>
      <w:r w:rsidR="003A34F4">
        <w:t xml:space="preserve">eu </w:t>
      </w:r>
      <w:r w:rsidR="00BB490F">
        <w:t xml:space="preserve">pour effet de remettre en cause rétroactivement les différentes actions réalisées jusqu’alors, dans le cadre de la </w:t>
      </w:r>
      <w:r w:rsidR="00BB490F">
        <w:lastRenderedPageBreak/>
        <w:t xml:space="preserve">procédure d’établissement du décompte général définie par le CCAG Travaux et notamment la transmission par le titulaire d’un projet de décompte final. </w:t>
      </w:r>
    </w:p>
    <w:p w14:paraId="37EDD85D" w14:textId="77777777" w:rsidR="00BB490F" w:rsidRPr="00F37DFB" w:rsidRDefault="00BB490F" w:rsidP="00BB490F">
      <w:pPr>
        <w:pStyle w:val="Paragraphedeliste"/>
        <w:rPr>
          <w:lang w:eastAsia="fr-FR"/>
        </w:rPr>
      </w:pPr>
    </w:p>
    <w:p w14:paraId="6B68BC73" w14:textId="5374D446" w:rsidR="00BB490F" w:rsidRPr="003C66FE" w:rsidRDefault="00716757" w:rsidP="003D3BD3">
      <w:pPr>
        <w:pStyle w:val="Normal1"/>
        <w:numPr>
          <w:ilvl w:val="0"/>
          <w:numId w:val="2"/>
        </w:numPr>
        <w:tabs>
          <w:tab w:val="left" w:pos="142"/>
          <w:tab w:val="left" w:pos="1134"/>
        </w:tabs>
        <w:spacing w:before="0" w:beforeAutospacing="0" w:after="0" w:afterAutospacing="0"/>
        <w:ind w:left="0" w:firstLine="851"/>
        <w:jc w:val="both"/>
      </w:pPr>
      <w:r w:rsidRPr="00F37DFB">
        <w:t>Enfin, il ne peut être opposé au maître d’ouvrage une quelconque renonciation implicite de sa part à invoquer une irrecevabilité tirée des stipulations de l’article 13.3 du CCAG Travaux, dès lors que le projet de décompte final précité a été transmis au maître d’ouvrage postérieurement à la signature de l’avenant n°3 par lequel la réclamation des sociétés requérantes a fait l’objet d’une admission partielle.</w:t>
      </w:r>
    </w:p>
    <w:p w14:paraId="477A6778" w14:textId="0CF6E44B" w:rsidR="00716757" w:rsidRDefault="00716757" w:rsidP="003C66FE">
      <w:pPr>
        <w:pStyle w:val="Normal1"/>
        <w:tabs>
          <w:tab w:val="left" w:pos="142"/>
        </w:tabs>
        <w:spacing w:before="0" w:beforeAutospacing="0" w:after="0" w:afterAutospacing="0"/>
        <w:ind w:left="851"/>
        <w:jc w:val="both"/>
      </w:pPr>
    </w:p>
    <w:p w14:paraId="39EE5DB7" w14:textId="438CC09E" w:rsidR="00BB490F" w:rsidRPr="00F37DFB" w:rsidRDefault="00BB490F" w:rsidP="003D3BD3">
      <w:pPr>
        <w:pStyle w:val="Normal1"/>
        <w:numPr>
          <w:ilvl w:val="0"/>
          <w:numId w:val="2"/>
        </w:numPr>
        <w:tabs>
          <w:tab w:val="left" w:pos="142"/>
          <w:tab w:val="left" w:pos="1134"/>
        </w:tabs>
        <w:spacing w:before="0" w:beforeAutospacing="0" w:after="0" w:afterAutospacing="0"/>
        <w:ind w:left="0" w:firstLine="851"/>
        <w:jc w:val="both"/>
        <w:rPr>
          <w:color w:val="000000"/>
        </w:rPr>
      </w:pPr>
      <w:r>
        <w:t xml:space="preserve"> </w:t>
      </w:r>
      <w:r w:rsidR="001F44B5">
        <w:t xml:space="preserve">Il </w:t>
      </w:r>
      <w:r w:rsidR="001F44B5" w:rsidRPr="00CC39EC">
        <w:t xml:space="preserve">s’ensuit que </w:t>
      </w:r>
      <w:r w:rsidR="006036DC">
        <w:t xml:space="preserve">les conclusions des </w:t>
      </w:r>
      <w:r w:rsidR="001F44B5">
        <w:t xml:space="preserve">sociétés requérantes </w:t>
      </w:r>
      <w:r w:rsidR="006036DC">
        <w:t xml:space="preserve">tendant au </w:t>
      </w:r>
      <w:r w:rsidR="001F44B5">
        <w:t>paiement de sommes au titre de la DRC E1</w:t>
      </w:r>
      <w:r w:rsidR="006036DC">
        <w:t>, dès lors que ces sommes n’ont pas été reprises dans leur projet de décompte final, sont dépourvues d’objet.</w:t>
      </w:r>
    </w:p>
    <w:p w14:paraId="48E2A55B" w14:textId="77777777" w:rsidR="00BB490F" w:rsidRPr="001F44B5" w:rsidRDefault="00BB490F" w:rsidP="00BB490F">
      <w:pPr>
        <w:pStyle w:val="Normal1"/>
        <w:tabs>
          <w:tab w:val="left" w:pos="142"/>
        </w:tabs>
        <w:spacing w:before="0" w:beforeAutospacing="0" w:after="0" w:afterAutospacing="0"/>
        <w:ind w:left="851"/>
        <w:jc w:val="both"/>
        <w:rPr>
          <w:color w:val="000000"/>
        </w:rPr>
      </w:pPr>
    </w:p>
    <w:p w14:paraId="3AA6BD48" w14:textId="4C4F70A0" w:rsidR="00250DC5" w:rsidRDefault="00250DC5" w:rsidP="003D3BD3">
      <w:pPr>
        <w:pStyle w:val="Normal1"/>
        <w:numPr>
          <w:ilvl w:val="0"/>
          <w:numId w:val="2"/>
        </w:numPr>
        <w:tabs>
          <w:tab w:val="left" w:pos="142"/>
          <w:tab w:val="left" w:pos="1134"/>
        </w:tabs>
        <w:spacing w:before="0" w:beforeAutospacing="0" w:after="0" w:afterAutospacing="0"/>
        <w:ind w:left="0" w:firstLine="851"/>
        <w:jc w:val="both"/>
        <w:rPr>
          <w:color w:val="000000"/>
        </w:rPr>
      </w:pPr>
      <w:r>
        <w:rPr>
          <w:color w:val="000000"/>
        </w:rPr>
        <w:t>Il résulte de ce qui précède</w:t>
      </w:r>
      <w:r w:rsidR="00577A56">
        <w:rPr>
          <w:color w:val="000000"/>
        </w:rPr>
        <w:t xml:space="preserve">, </w:t>
      </w:r>
      <w:r>
        <w:rPr>
          <w:color w:val="000000"/>
        </w:rPr>
        <w:t xml:space="preserve">sans qu’il soit besoin de se prononcer sur l’application de l’article 3.8 du </w:t>
      </w:r>
      <w:r w:rsidR="008363E8">
        <w:rPr>
          <w:color w:val="000000"/>
        </w:rPr>
        <w:t>cahier des clauses administratives particulières du marché</w:t>
      </w:r>
      <w:r>
        <w:rPr>
          <w:color w:val="000000"/>
        </w:rPr>
        <w:t xml:space="preserve"> </w:t>
      </w:r>
      <w:r w:rsidR="00577A56">
        <w:rPr>
          <w:color w:val="000000"/>
        </w:rPr>
        <w:t>ni d’ordonner une mesure d’instruction aux fins de production du rapport d’analyse des offr</w:t>
      </w:r>
      <w:r w:rsidR="006817BC">
        <w:rPr>
          <w:color w:val="000000"/>
        </w:rPr>
        <w:t>e</w:t>
      </w:r>
      <w:r w:rsidR="00577A56">
        <w:rPr>
          <w:color w:val="000000"/>
        </w:rPr>
        <w:t xml:space="preserve">s, </w:t>
      </w:r>
      <w:r>
        <w:rPr>
          <w:color w:val="000000"/>
        </w:rPr>
        <w:t>qu</w:t>
      </w:r>
      <w:r w:rsidR="006036DC">
        <w:rPr>
          <w:color w:val="000000"/>
        </w:rPr>
        <w:t xml:space="preserve">’il n’y a plus lieu de statuer sur les conclusions </w:t>
      </w:r>
      <w:r w:rsidR="008363E8">
        <w:rPr>
          <w:color w:val="000000"/>
        </w:rPr>
        <w:t>d</w:t>
      </w:r>
      <w:r>
        <w:rPr>
          <w:color w:val="000000"/>
        </w:rPr>
        <w:t xml:space="preserve">es sociétés requérantes </w:t>
      </w:r>
      <w:r w:rsidR="006036DC">
        <w:rPr>
          <w:color w:val="000000"/>
        </w:rPr>
        <w:t xml:space="preserve">tendant au versement de </w:t>
      </w:r>
      <w:r>
        <w:t xml:space="preserve">la somme globale de </w:t>
      </w:r>
      <w:r w:rsidR="006C117E">
        <w:t>895 419</w:t>
      </w:r>
      <w:r>
        <w:t xml:space="preserve"> euros hors taxes au titre de surcoûts liés aux matériels maritime de terrassement.</w:t>
      </w:r>
    </w:p>
    <w:p w14:paraId="29B83612" w14:textId="19E72E00" w:rsidR="00250DC5" w:rsidRDefault="00250DC5" w:rsidP="00250DC5">
      <w:pPr>
        <w:pStyle w:val="Normal1"/>
        <w:tabs>
          <w:tab w:val="left" w:pos="142"/>
        </w:tabs>
        <w:spacing w:before="0" w:beforeAutospacing="0" w:after="0" w:afterAutospacing="0"/>
        <w:jc w:val="both"/>
      </w:pPr>
    </w:p>
    <w:p w14:paraId="54DC7384" w14:textId="77777777" w:rsidR="00577A56" w:rsidRDefault="00577A56" w:rsidP="00250DC5">
      <w:pPr>
        <w:pStyle w:val="Normal1"/>
        <w:tabs>
          <w:tab w:val="left" w:pos="142"/>
        </w:tabs>
        <w:spacing w:before="0" w:beforeAutospacing="0" w:after="0" w:afterAutospacing="0"/>
        <w:jc w:val="both"/>
      </w:pPr>
    </w:p>
    <w:p w14:paraId="4577B18C" w14:textId="77777777" w:rsidR="00250DC5" w:rsidRDefault="00250DC5" w:rsidP="00250DC5">
      <w:pPr>
        <w:pStyle w:val="Normal1"/>
        <w:tabs>
          <w:tab w:val="left" w:pos="142"/>
        </w:tabs>
        <w:spacing w:before="0" w:beforeAutospacing="0" w:after="0" w:afterAutospacing="0"/>
        <w:ind w:left="851"/>
        <w:jc w:val="both"/>
      </w:pPr>
      <w:bookmarkStart w:id="13" w:name="_ftnref3"/>
      <w:bookmarkStart w:id="14" w:name="_ftnref4"/>
      <w:bookmarkEnd w:id="13"/>
      <w:bookmarkEnd w:id="14"/>
      <w:r>
        <w:rPr>
          <w:u w:val="single"/>
        </w:rPr>
        <w:t>Sur les frais du litige</w:t>
      </w:r>
      <w:r>
        <w:t> :</w:t>
      </w:r>
    </w:p>
    <w:p w14:paraId="1BE31689" w14:textId="77777777" w:rsidR="00250DC5" w:rsidRDefault="00250DC5" w:rsidP="00250DC5">
      <w:pPr>
        <w:pStyle w:val="Normal1"/>
        <w:tabs>
          <w:tab w:val="left" w:pos="142"/>
        </w:tabs>
        <w:spacing w:before="0" w:beforeAutospacing="0" w:after="0" w:afterAutospacing="0"/>
        <w:ind w:left="851"/>
        <w:jc w:val="both"/>
      </w:pPr>
    </w:p>
    <w:p w14:paraId="71E454F7" w14:textId="550D7498" w:rsidR="00250DC5" w:rsidRDefault="00250DC5" w:rsidP="003D3BD3">
      <w:pPr>
        <w:pStyle w:val="Normal1"/>
        <w:numPr>
          <w:ilvl w:val="0"/>
          <w:numId w:val="2"/>
        </w:numPr>
        <w:tabs>
          <w:tab w:val="left" w:pos="142"/>
          <w:tab w:val="left" w:pos="1134"/>
        </w:tabs>
        <w:spacing w:before="0" w:beforeAutospacing="0" w:after="0" w:afterAutospacing="0"/>
        <w:ind w:left="0" w:firstLine="851"/>
        <w:jc w:val="both"/>
      </w:pPr>
      <w:r>
        <w:t xml:space="preserve">Les dispositions de l’article L. 761-1 du code de justice administrative font obstacle à ce que soit mis à la charge de la région Réunion, qui n’est pas la partie perdante, le versement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d’une somme au titre des frais exposés par elles et non compris dans les dépens. Il y a lieu, en revanche, de faire application de ces dispositions et de mettre à la charge des sociétés requérantes une somme de </w:t>
      </w:r>
      <w:r w:rsidR="006036DC">
        <w:t>1</w:t>
      </w:r>
      <w:r>
        <w:t xml:space="preserve"> 500 euros au titre des frais exposés par la région Réunion et non compris dans les dépens. </w:t>
      </w:r>
    </w:p>
    <w:p w14:paraId="5F9C87B5" w14:textId="77777777" w:rsidR="00250DC5" w:rsidRDefault="00250DC5" w:rsidP="00250DC5">
      <w:pPr>
        <w:pStyle w:val="Normal1"/>
        <w:tabs>
          <w:tab w:val="left" w:pos="142"/>
        </w:tabs>
        <w:spacing w:before="0" w:beforeAutospacing="0" w:after="0" w:afterAutospacing="0"/>
        <w:jc w:val="both"/>
      </w:pPr>
    </w:p>
    <w:p w14:paraId="734DEBB6" w14:textId="0D85C85F" w:rsidR="00250DC5" w:rsidRDefault="00250DC5" w:rsidP="00250DC5">
      <w:pPr>
        <w:pStyle w:val="Normal1"/>
        <w:tabs>
          <w:tab w:val="left" w:pos="142"/>
        </w:tabs>
        <w:spacing w:before="0" w:beforeAutospacing="0" w:after="0" w:afterAutospacing="0"/>
        <w:jc w:val="both"/>
      </w:pPr>
    </w:p>
    <w:p w14:paraId="6064900B" w14:textId="77777777" w:rsidR="00317583" w:rsidRDefault="00317583" w:rsidP="00250DC5">
      <w:pPr>
        <w:pStyle w:val="Normal1"/>
        <w:tabs>
          <w:tab w:val="left" w:pos="142"/>
        </w:tabs>
        <w:spacing w:before="0" w:beforeAutospacing="0" w:after="0" w:afterAutospacing="0"/>
        <w:jc w:val="both"/>
      </w:pPr>
    </w:p>
    <w:p w14:paraId="0F58888D" w14:textId="77777777" w:rsidR="00250DC5" w:rsidRDefault="00250DC5" w:rsidP="00250DC5">
      <w:pPr>
        <w:jc w:val="center"/>
        <w:outlineLvl w:val="0"/>
      </w:pPr>
      <w:r>
        <w:t>D E C I D E :</w:t>
      </w:r>
    </w:p>
    <w:p w14:paraId="527B3E32" w14:textId="77777777" w:rsidR="00250DC5" w:rsidRDefault="00250DC5" w:rsidP="00250DC5">
      <w:pPr>
        <w:outlineLvl w:val="0"/>
      </w:pPr>
    </w:p>
    <w:p w14:paraId="7554E826" w14:textId="01ACBE8C" w:rsidR="004F58ED" w:rsidRDefault="004F58ED" w:rsidP="00250DC5">
      <w:pPr>
        <w:pStyle w:val="NormalWeb"/>
        <w:spacing w:before="0" w:beforeAutospacing="0" w:after="0" w:afterAutospacing="0"/>
        <w:jc w:val="both"/>
        <w:rPr>
          <w:u w:val="single"/>
        </w:rPr>
      </w:pPr>
    </w:p>
    <w:p w14:paraId="5B16C2DF" w14:textId="77777777" w:rsidR="00317583" w:rsidRDefault="00317583" w:rsidP="00250DC5">
      <w:pPr>
        <w:pStyle w:val="NormalWeb"/>
        <w:spacing w:before="0" w:beforeAutospacing="0" w:after="0" w:afterAutospacing="0"/>
        <w:jc w:val="both"/>
        <w:rPr>
          <w:u w:val="single"/>
        </w:rPr>
      </w:pPr>
    </w:p>
    <w:p w14:paraId="16ADD4DA" w14:textId="23F7D28B" w:rsidR="00250DC5" w:rsidRDefault="00250DC5" w:rsidP="00250DC5">
      <w:pPr>
        <w:pStyle w:val="NormalWeb"/>
        <w:spacing w:before="0" w:beforeAutospacing="0" w:after="0" w:afterAutospacing="0"/>
        <w:jc w:val="both"/>
      </w:pPr>
      <w:r>
        <w:rPr>
          <w:u w:val="single"/>
        </w:rPr>
        <w:t>Article 1</w:t>
      </w:r>
      <w:r>
        <w:rPr>
          <w:sz w:val="16"/>
          <w:szCs w:val="16"/>
          <w:u w:val="single"/>
          <w:vertAlign w:val="superscript"/>
        </w:rPr>
        <w:t>er</w:t>
      </w:r>
      <w:r>
        <w:t xml:space="preserve"> : </w:t>
      </w:r>
      <w:r w:rsidR="006036DC">
        <w:rPr>
          <w:color w:val="000000"/>
        </w:rPr>
        <w:t xml:space="preserve">Il n’y a plus lieu de statuer sur les conclusions présentées par </w:t>
      </w:r>
      <w:r w:rsidR="006036DC">
        <w:t xml:space="preserve">les sociétés </w:t>
      </w:r>
      <w:r w:rsidR="006036DC">
        <w:rPr>
          <w:rStyle w:val="matchlocations"/>
        </w:rPr>
        <w:t>Vinci</w:t>
      </w:r>
      <w:r w:rsidR="006036DC">
        <w:t xml:space="preserve"> Construction Grands Projets, Bouygues Travaux Publics, </w:t>
      </w:r>
      <w:proofErr w:type="spellStart"/>
      <w:r w:rsidR="006036DC">
        <w:t>Dodin</w:t>
      </w:r>
      <w:proofErr w:type="spellEnd"/>
      <w:r w:rsidR="006036DC">
        <w:t xml:space="preserve"> </w:t>
      </w:r>
      <w:proofErr w:type="spellStart"/>
      <w:r w:rsidR="006036DC">
        <w:t>Campenon</w:t>
      </w:r>
      <w:proofErr w:type="spellEnd"/>
      <w:r w:rsidR="006036DC">
        <w:t xml:space="preserve"> Bernard et Demathieu Bard Construction</w:t>
      </w:r>
      <w:r w:rsidR="006036DC">
        <w:rPr>
          <w:color w:val="000000"/>
        </w:rPr>
        <w:t xml:space="preserve"> tendant au versement de </w:t>
      </w:r>
      <w:r w:rsidR="006036DC">
        <w:t>la somme globale de 895 419 euros hors taxes au titre de surcoûts liés aux matériels maritime de terrassement.</w:t>
      </w:r>
    </w:p>
    <w:p w14:paraId="3961A646" w14:textId="7234A44B" w:rsidR="006036DC" w:rsidRDefault="006036DC" w:rsidP="00250DC5">
      <w:pPr>
        <w:pStyle w:val="NormalWeb"/>
        <w:spacing w:before="0" w:beforeAutospacing="0" w:after="0" w:afterAutospacing="0"/>
        <w:jc w:val="both"/>
      </w:pPr>
    </w:p>
    <w:p w14:paraId="688FBB6B" w14:textId="145A55B2" w:rsidR="006036DC" w:rsidRDefault="006036DC" w:rsidP="00250DC5">
      <w:pPr>
        <w:pStyle w:val="NormalWeb"/>
        <w:spacing w:before="0" w:beforeAutospacing="0" w:after="0" w:afterAutospacing="0"/>
        <w:jc w:val="both"/>
      </w:pPr>
      <w:r w:rsidRPr="00F37DFB">
        <w:rPr>
          <w:u w:val="single"/>
        </w:rPr>
        <w:t>Article 2</w:t>
      </w:r>
      <w:r>
        <w:t xml:space="preserve"> : Le surplus </w:t>
      </w:r>
      <w:r w:rsidR="008363E8">
        <w:t xml:space="preserve">des conclusions </w:t>
      </w:r>
      <w:r>
        <w:t xml:space="preserve">de la requête des sociétés </w:t>
      </w:r>
      <w:r>
        <w:rPr>
          <w:rStyle w:val="matchlocations"/>
        </w:rPr>
        <w:t>Vinci</w:t>
      </w:r>
      <w:r>
        <w:t xml:space="preserve"> Construction Grands Projets, Bouygues Travaux Publics, </w:t>
      </w:r>
      <w:proofErr w:type="spellStart"/>
      <w:r>
        <w:t>Dodin</w:t>
      </w:r>
      <w:proofErr w:type="spellEnd"/>
      <w:r>
        <w:t xml:space="preserve"> </w:t>
      </w:r>
      <w:proofErr w:type="spellStart"/>
      <w:r>
        <w:t>Campenon</w:t>
      </w:r>
      <w:proofErr w:type="spellEnd"/>
      <w:r>
        <w:t xml:space="preserve"> Bernard et Demathieu Bard Construction est rejeté.</w:t>
      </w:r>
    </w:p>
    <w:p w14:paraId="7B59B6DB" w14:textId="3BC8E69F" w:rsidR="00D210C0" w:rsidRDefault="00D210C0" w:rsidP="00250DC5">
      <w:pPr>
        <w:pStyle w:val="NormalWeb"/>
        <w:spacing w:before="0" w:beforeAutospacing="0" w:after="0" w:afterAutospacing="0"/>
        <w:jc w:val="both"/>
      </w:pPr>
    </w:p>
    <w:p w14:paraId="3C5B5D23" w14:textId="51ACB096" w:rsidR="006036DC" w:rsidRPr="006036DC" w:rsidRDefault="006036DC" w:rsidP="006036DC">
      <w:pPr>
        <w:widowControl/>
        <w:autoSpaceDE/>
        <w:autoSpaceDN/>
        <w:adjustRightInd/>
        <w:jc w:val="both"/>
        <w:rPr>
          <w:lang w:eastAsia="fr-FR"/>
        </w:rPr>
      </w:pPr>
      <w:r w:rsidRPr="006036DC">
        <w:rPr>
          <w:u w:val="single"/>
          <w:lang w:eastAsia="fr-FR"/>
        </w:rPr>
        <w:t xml:space="preserve">Article </w:t>
      </w:r>
      <w:r>
        <w:rPr>
          <w:u w:val="single"/>
          <w:lang w:eastAsia="fr-FR"/>
        </w:rPr>
        <w:t>3</w:t>
      </w:r>
      <w:r w:rsidRPr="006036DC">
        <w:rPr>
          <w:lang w:eastAsia="fr-FR"/>
        </w:rPr>
        <w:t xml:space="preserve"> : La société Vinci Construction Grands Projets versera à la région Réunion une somme de </w:t>
      </w:r>
      <w:r>
        <w:rPr>
          <w:lang w:eastAsia="fr-FR"/>
        </w:rPr>
        <w:t>1</w:t>
      </w:r>
      <w:r w:rsidRPr="006036DC">
        <w:rPr>
          <w:lang w:eastAsia="fr-FR"/>
        </w:rPr>
        <w:t xml:space="preserve"> 500 euros au titre de l’article L. 761-1 du code de justice administrative.</w:t>
      </w:r>
    </w:p>
    <w:p w14:paraId="25CB68D1" w14:textId="4119BD0E" w:rsidR="00250DC5" w:rsidRDefault="00250DC5" w:rsidP="00250DC5">
      <w:pPr>
        <w:pStyle w:val="NormalWeb"/>
        <w:spacing w:before="0" w:beforeAutospacing="0" w:after="0" w:afterAutospacing="0"/>
        <w:jc w:val="both"/>
      </w:pPr>
    </w:p>
    <w:p w14:paraId="1376A9DD" w14:textId="4A5F4CB7" w:rsidR="00317583" w:rsidRDefault="00317583" w:rsidP="00250DC5">
      <w:pPr>
        <w:pStyle w:val="NormalWeb"/>
        <w:spacing w:before="0" w:beforeAutospacing="0" w:after="0" w:afterAutospacing="0"/>
        <w:jc w:val="both"/>
      </w:pPr>
    </w:p>
    <w:p w14:paraId="450EE29F" w14:textId="6718B4F1" w:rsidR="00317583" w:rsidRDefault="00317583" w:rsidP="00250DC5">
      <w:pPr>
        <w:pStyle w:val="NormalWeb"/>
        <w:spacing w:before="0" w:beforeAutospacing="0" w:after="0" w:afterAutospacing="0"/>
        <w:jc w:val="both"/>
      </w:pPr>
    </w:p>
    <w:p w14:paraId="39E270D2" w14:textId="3F0EF803" w:rsidR="00317583" w:rsidRDefault="00317583" w:rsidP="00250DC5">
      <w:pPr>
        <w:pStyle w:val="NormalWeb"/>
        <w:spacing w:before="0" w:beforeAutospacing="0" w:after="0" w:afterAutospacing="0"/>
        <w:jc w:val="both"/>
      </w:pPr>
    </w:p>
    <w:p w14:paraId="3C4D6F1F" w14:textId="77777777" w:rsidR="00317583" w:rsidRDefault="00317583" w:rsidP="00250DC5">
      <w:pPr>
        <w:pStyle w:val="NormalWeb"/>
        <w:spacing w:before="0" w:beforeAutospacing="0" w:after="0" w:afterAutospacing="0"/>
        <w:jc w:val="both"/>
      </w:pPr>
    </w:p>
    <w:p w14:paraId="0780E78E" w14:textId="77777777" w:rsidR="00250DC5" w:rsidRDefault="00250DC5" w:rsidP="00250DC5">
      <w:pPr>
        <w:pStyle w:val="NormalWeb"/>
        <w:spacing w:before="0" w:beforeAutospacing="0" w:after="0" w:afterAutospacing="0"/>
        <w:jc w:val="both"/>
      </w:pPr>
      <w:r>
        <w:rPr>
          <w:u w:val="single"/>
        </w:rPr>
        <w:t>Article 4</w:t>
      </w:r>
      <w:r>
        <w:t xml:space="preserve"> : Le présent jugement sera notifié à la société Vinci Construction Grands Projets, à la société Bouygues Travaux Publics, à la société </w:t>
      </w:r>
      <w:proofErr w:type="spellStart"/>
      <w:r>
        <w:t>Dodin</w:t>
      </w:r>
      <w:proofErr w:type="spellEnd"/>
      <w:r>
        <w:t xml:space="preserve"> </w:t>
      </w:r>
      <w:proofErr w:type="spellStart"/>
      <w:r>
        <w:t>Campenon</w:t>
      </w:r>
      <w:proofErr w:type="spellEnd"/>
      <w:r>
        <w:t xml:space="preserve"> Bernard, à la société Demathieu Bard Construction et à la région Réunion.</w:t>
      </w:r>
    </w:p>
    <w:p w14:paraId="773FECF4" w14:textId="77777777" w:rsidR="00250DC5" w:rsidRDefault="00250DC5" w:rsidP="00250DC5">
      <w:pPr>
        <w:pStyle w:val="NormalWeb"/>
        <w:spacing w:before="0" w:beforeAutospacing="0" w:after="0" w:afterAutospacing="0"/>
        <w:jc w:val="both"/>
      </w:pPr>
    </w:p>
    <w:p w14:paraId="6A723996" w14:textId="75DC416D" w:rsidR="00250DC5" w:rsidRDefault="00250DC5" w:rsidP="00250DC5">
      <w:pPr>
        <w:jc w:val="both"/>
      </w:pPr>
      <w:r>
        <w:t xml:space="preserve">Délibéré après l’audience du </w:t>
      </w:r>
      <w:r w:rsidR="00D210C0">
        <w:t>13 février 2025</w:t>
      </w:r>
      <w:r>
        <w:t>, à laquelle siégeaient :</w:t>
      </w:r>
    </w:p>
    <w:p w14:paraId="3B180D87" w14:textId="77777777" w:rsidR="00250DC5" w:rsidRDefault="00250DC5" w:rsidP="00250DC5">
      <w:pPr>
        <w:jc w:val="both"/>
      </w:pPr>
    </w:p>
    <w:p w14:paraId="24CBCC4F" w14:textId="77777777" w:rsidR="00250DC5" w:rsidRDefault="00250DC5" w:rsidP="00250DC5">
      <w:pPr>
        <w:jc w:val="both"/>
      </w:pPr>
      <w:r>
        <w:t xml:space="preserve">Mme </w:t>
      </w:r>
      <w:proofErr w:type="spellStart"/>
      <w:r>
        <w:t>Khater</w:t>
      </w:r>
      <w:proofErr w:type="spellEnd"/>
      <w:r>
        <w:t>, présidente,</w:t>
      </w:r>
    </w:p>
    <w:p w14:paraId="3969CB7D" w14:textId="77777777" w:rsidR="00250DC5" w:rsidRDefault="00250DC5" w:rsidP="00250DC5">
      <w:pPr>
        <w:jc w:val="both"/>
      </w:pPr>
      <w:r>
        <w:t xml:space="preserve">M. </w:t>
      </w:r>
      <w:proofErr w:type="spellStart"/>
      <w:r>
        <w:t>Banvillet</w:t>
      </w:r>
      <w:proofErr w:type="spellEnd"/>
      <w:r>
        <w:t>, premier conseiller,</w:t>
      </w:r>
    </w:p>
    <w:p w14:paraId="2AB05D9E" w14:textId="77777777" w:rsidR="00250DC5" w:rsidRDefault="00250DC5" w:rsidP="00250DC5">
      <w:pPr>
        <w:jc w:val="both"/>
      </w:pPr>
      <w:r>
        <w:t xml:space="preserve">M. </w:t>
      </w:r>
      <w:proofErr w:type="spellStart"/>
      <w:r>
        <w:t>Lassaux</w:t>
      </w:r>
      <w:proofErr w:type="spellEnd"/>
      <w:r>
        <w:t>, premier conseiller.</w:t>
      </w:r>
    </w:p>
    <w:p w14:paraId="4B043CC1" w14:textId="77777777" w:rsidR="00250DC5" w:rsidRDefault="00250DC5" w:rsidP="00250DC5">
      <w:pPr>
        <w:jc w:val="both"/>
      </w:pPr>
    </w:p>
    <w:p w14:paraId="7C9BA774" w14:textId="1DC6D9C7" w:rsidR="00250DC5" w:rsidRDefault="00250DC5" w:rsidP="00250DC5">
      <w:pPr>
        <w:jc w:val="both"/>
      </w:pPr>
      <w:r>
        <w:t xml:space="preserve">Rendu public par mise à disposition au greffe du tribunal le </w:t>
      </w:r>
      <w:r w:rsidR="00D210C0">
        <w:t>28 février 2025</w:t>
      </w:r>
    </w:p>
    <w:p w14:paraId="7A740A31" w14:textId="659F660C" w:rsidR="00250DC5" w:rsidRDefault="00250DC5" w:rsidP="00250DC5"/>
    <w:p w14:paraId="2F1ABFE3" w14:textId="77777777" w:rsidR="0025199B" w:rsidRDefault="0025199B" w:rsidP="00250DC5"/>
    <w:tbl>
      <w:tblPr>
        <w:tblW w:w="9356" w:type="dxa"/>
        <w:tblInd w:w="-284" w:type="dxa"/>
        <w:tblCellMar>
          <w:left w:w="70" w:type="dxa"/>
          <w:right w:w="70" w:type="dxa"/>
        </w:tblCellMar>
        <w:tblLook w:val="04A0" w:firstRow="1" w:lastRow="0" w:firstColumn="1" w:lastColumn="0" w:noHBand="0" w:noVBand="1"/>
      </w:tblPr>
      <w:tblGrid>
        <w:gridCol w:w="5103"/>
        <w:gridCol w:w="4253"/>
      </w:tblGrid>
      <w:tr w:rsidR="00250DC5" w14:paraId="4E75235F" w14:textId="77777777" w:rsidTr="003D3BD3">
        <w:tc>
          <w:tcPr>
            <w:tcW w:w="5103" w:type="dxa"/>
          </w:tcPr>
          <w:p w14:paraId="50B80026" w14:textId="77777777" w:rsidR="00250DC5" w:rsidRDefault="00250DC5">
            <w:pPr>
              <w:widowControl/>
              <w:autoSpaceDE/>
              <w:adjustRightInd/>
              <w:spacing w:line="256" w:lineRule="auto"/>
              <w:jc w:val="center"/>
              <w:rPr>
                <w:lang w:eastAsia="fr-FR"/>
              </w:rPr>
            </w:pPr>
            <w:r>
              <w:rPr>
                <w:lang w:eastAsia="fr-FR"/>
              </w:rPr>
              <w:t>Le rapporteur,</w:t>
            </w:r>
          </w:p>
          <w:p w14:paraId="6F60543C" w14:textId="77CCEB67" w:rsidR="004F58ED" w:rsidRDefault="004F58ED">
            <w:pPr>
              <w:widowControl/>
              <w:autoSpaceDE/>
              <w:adjustRightInd/>
              <w:spacing w:line="256" w:lineRule="auto"/>
              <w:ind w:firstLine="851"/>
              <w:rPr>
                <w:lang w:eastAsia="fr-FR"/>
              </w:rPr>
            </w:pPr>
          </w:p>
          <w:p w14:paraId="0B6FCC73" w14:textId="77777777" w:rsidR="004F58ED" w:rsidRDefault="004F58ED">
            <w:pPr>
              <w:widowControl/>
              <w:autoSpaceDE/>
              <w:adjustRightInd/>
              <w:spacing w:line="256" w:lineRule="auto"/>
              <w:ind w:firstLine="851"/>
              <w:rPr>
                <w:lang w:eastAsia="fr-FR"/>
              </w:rPr>
            </w:pPr>
          </w:p>
          <w:p w14:paraId="078F1CFA" w14:textId="77777777" w:rsidR="00250DC5" w:rsidRDefault="00250DC5">
            <w:pPr>
              <w:widowControl/>
              <w:autoSpaceDE/>
              <w:adjustRightInd/>
              <w:spacing w:line="256" w:lineRule="auto"/>
              <w:ind w:firstLine="851"/>
              <w:jc w:val="center"/>
              <w:rPr>
                <w:lang w:eastAsia="fr-FR"/>
              </w:rPr>
            </w:pPr>
          </w:p>
          <w:p w14:paraId="185769A1" w14:textId="77777777" w:rsidR="00250DC5" w:rsidRDefault="00250DC5">
            <w:pPr>
              <w:widowControl/>
              <w:autoSpaceDE/>
              <w:adjustRightInd/>
              <w:spacing w:line="256" w:lineRule="auto"/>
              <w:jc w:val="center"/>
              <w:rPr>
                <w:lang w:eastAsia="fr-FR"/>
              </w:rPr>
            </w:pPr>
            <w:r>
              <w:rPr>
                <w:lang w:eastAsia="fr-FR"/>
              </w:rPr>
              <w:t>P. LASSAUX</w:t>
            </w:r>
          </w:p>
        </w:tc>
        <w:tc>
          <w:tcPr>
            <w:tcW w:w="4253" w:type="dxa"/>
          </w:tcPr>
          <w:p w14:paraId="6C7C11EA" w14:textId="77777777" w:rsidR="00250DC5" w:rsidRDefault="00250DC5">
            <w:pPr>
              <w:widowControl/>
              <w:autoSpaceDE/>
              <w:adjustRightInd/>
              <w:spacing w:line="256" w:lineRule="auto"/>
              <w:jc w:val="center"/>
              <w:rPr>
                <w:lang w:eastAsia="fr-FR"/>
              </w:rPr>
            </w:pPr>
            <w:r>
              <w:rPr>
                <w:lang w:eastAsia="fr-FR"/>
              </w:rPr>
              <w:t>La présidente,</w:t>
            </w:r>
          </w:p>
          <w:p w14:paraId="6EC82256" w14:textId="77777777" w:rsidR="00250DC5" w:rsidRDefault="00250DC5">
            <w:pPr>
              <w:widowControl/>
              <w:autoSpaceDE/>
              <w:adjustRightInd/>
              <w:spacing w:line="256" w:lineRule="auto"/>
              <w:ind w:firstLine="851"/>
              <w:jc w:val="center"/>
              <w:rPr>
                <w:lang w:eastAsia="fr-FR"/>
              </w:rPr>
            </w:pPr>
          </w:p>
          <w:p w14:paraId="0EDA1F7A" w14:textId="77777777" w:rsidR="00250DC5" w:rsidRDefault="00250DC5">
            <w:pPr>
              <w:widowControl/>
              <w:autoSpaceDE/>
              <w:adjustRightInd/>
              <w:spacing w:line="256" w:lineRule="auto"/>
              <w:ind w:firstLine="851"/>
              <w:jc w:val="center"/>
              <w:rPr>
                <w:lang w:eastAsia="fr-FR"/>
              </w:rPr>
            </w:pPr>
          </w:p>
          <w:p w14:paraId="60F643E4" w14:textId="4D0C5573" w:rsidR="00250DC5" w:rsidRDefault="00250DC5">
            <w:pPr>
              <w:widowControl/>
              <w:autoSpaceDE/>
              <w:adjustRightInd/>
              <w:spacing w:line="256" w:lineRule="auto"/>
              <w:rPr>
                <w:lang w:eastAsia="fr-FR"/>
              </w:rPr>
            </w:pPr>
          </w:p>
          <w:p w14:paraId="6470979C" w14:textId="77777777" w:rsidR="00250DC5" w:rsidRDefault="00250DC5">
            <w:pPr>
              <w:widowControl/>
              <w:tabs>
                <w:tab w:val="center" w:pos="1417"/>
                <w:tab w:val="center" w:pos="4534"/>
                <w:tab w:val="center" w:pos="7200"/>
              </w:tabs>
              <w:autoSpaceDE/>
              <w:adjustRightInd/>
              <w:spacing w:line="256" w:lineRule="auto"/>
              <w:jc w:val="center"/>
              <w:rPr>
                <w:lang w:eastAsia="fr-FR"/>
              </w:rPr>
            </w:pPr>
            <w:r>
              <w:rPr>
                <w:lang w:eastAsia="fr-FR"/>
              </w:rPr>
              <w:t>A. KHATER</w:t>
            </w:r>
          </w:p>
        </w:tc>
      </w:tr>
    </w:tbl>
    <w:p w14:paraId="7EDADC55" w14:textId="5A7E106F" w:rsidR="00250DC5" w:rsidRDefault="00250DC5" w:rsidP="00250DC5">
      <w:pPr>
        <w:widowControl/>
        <w:tabs>
          <w:tab w:val="center" w:pos="1417"/>
          <w:tab w:val="center" w:pos="4534"/>
          <w:tab w:val="center" w:pos="7200"/>
        </w:tabs>
        <w:autoSpaceDE/>
        <w:adjustRightInd/>
        <w:rPr>
          <w:lang w:eastAsia="fr-FR"/>
        </w:rPr>
      </w:pPr>
    </w:p>
    <w:p w14:paraId="3149571B" w14:textId="77777777" w:rsidR="0025199B" w:rsidRDefault="0025199B" w:rsidP="00250DC5">
      <w:pPr>
        <w:widowControl/>
        <w:tabs>
          <w:tab w:val="center" w:pos="1417"/>
          <w:tab w:val="center" w:pos="4534"/>
          <w:tab w:val="center" w:pos="7200"/>
        </w:tabs>
        <w:autoSpaceDE/>
        <w:adjustRightInd/>
        <w:rPr>
          <w:lang w:eastAsia="fr-FR"/>
        </w:rPr>
      </w:pPr>
    </w:p>
    <w:p w14:paraId="2D43AD81" w14:textId="77777777" w:rsidR="00250DC5" w:rsidRDefault="00250DC5" w:rsidP="00250DC5">
      <w:pPr>
        <w:widowControl/>
        <w:tabs>
          <w:tab w:val="center" w:pos="1417"/>
          <w:tab w:val="center" w:pos="4534"/>
          <w:tab w:val="center" w:pos="7200"/>
        </w:tabs>
        <w:autoSpaceDE/>
        <w:adjustRightInd/>
        <w:jc w:val="center"/>
        <w:rPr>
          <w:lang w:eastAsia="fr-FR"/>
        </w:rPr>
      </w:pPr>
      <w:r>
        <w:rPr>
          <w:lang w:eastAsia="fr-FR"/>
        </w:rPr>
        <w:t>La greffière,</w:t>
      </w:r>
    </w:p>
    <w:p w14:paraId="1863F4D3" w14:textId="77777777" w:rsidR="00250DC5" w:rsidRDefault="00250DC5" w:rsidP="00250DC5">
      <w:pPr>
        <w:widowControl/>
        <w:tabs>
          <w:tab w:val="center" w:pos="1417"/>
          <w:tab w:val="center" w:pos="4534"/>
          <w:tab w:val="center" w:pos="7200"/>
        </w:tabs>
        <w:autoSpaceDE/>
        <w:adjustRightInd/>
        <w:ind w:firstLine="851"/>
        <w:jc w:val="center"/>
        <w:rPr>
          <w:lang w:eastAsia="fr-FR"/>
        </w:rPr>
      </w:pPr>
    </w:p>
    <w:p w14:paraId="0C0A40C2" w14:textId="77777777" w:rsidR="00250DC5" w:rsidRDefault="00250DC5" w:rsidP="00250DC5">
      <w:pPr>
        <w:widowControl/>
        <w:tabs>
          <w:tab w:val="center" w:pos="1417"/>
          <w:tab w:val="center" w:pos="4534"/>
          <w:tab w:val="center" w:pos="7200"/>
        </w:tabs>
        <w:autoSpaceDE/>
        <w:adjustRightInd/>
        <w:ind w:firstLine="851"/>
        <w:rPr>
          <w:lang w:eastAsia="fr-FR"/>
        </w:rPr>
      </w:pPr>
    </w:p>
    <w:p w14:paraId="00630F06" w14:textId="77777777" w:rsidR="00250DC5" w:rsidRDefault="00250DC5" w:rsidP="00250DC5">
      <w:pPr>
        <w:widowControl/>
        <w:tabs>
          <w:tab w:val="center" w:pos="1417"/>
          <w:tab w:val="center" w:pos="4534"/>
          <w:tab w:val="center" w:pos="7200"/>
        </w:tabs>
        <w:autoSpaceDE/>
        <w:adjustRightInd/>
        <w:ind w:firstLine="851"/>
        <w:jc w:val="center"/>
        <w:rPr>
          <w:lang w:eastAsia="fr-FR"/>
        </w:rPr>
      </w:pPr>
    </w:p>
    <w:p w14:paraId="734403A9" w14:textId="709D5F69" w:rsidR="00250DC5" w:rsidRDefault="006036DC" w:rsidP="00250DC5">
      <w:pPr>
        <w:widowControl/>
        <w:tabs>
          <w:tab w:val="center" w:pos="1417"/>
          <w:tab w:val="center" w:pos="4534"/>
          <w:tab w:val="center" w:pos="7200"/>
        </w:tabs>
        <w:autoSpaceDE/>
        <w:adjustRightInd/>
        <w:jc w:val="center"/>
        <w:rPr>
          <w:lang w:eastAsia="fr-FR"/>
        </w:rPr>
      </w:pPr>
      <w:bookmarkStart w:id="15" w:name="debnomrap"/>
      <w:bookmarkStart w:id="16" w:name="finnomrap"/>
      <w:bookmarkEnd w:id="15"/>
      <w:bookmarkEnd w:id="16"/>
      <w:r>
        <w:rPr>
          <w:lang w:eastAsia="fr-FR"/>
        </w:rPr>
        <w:t>C. JUSSY</w:t>
      </w:r>
    </w:p>
    <w:p w14:paraId="134D6A3A" w14:textId="2BFA569C" w:rsidR="00250DC5" w:rsidRDefault="00250DC5" w:rsidP="00250DC5">
      <w:pPr>
        <w:jc w:val="both"/>
      </w:pPr>
    </w:p>
    <w:sectPr w:rsidR="00250DC5" w:rsidSect="003D3BD3">
      <w:head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E69B" w14:textId="77777777" w:rsidR="00A720F6" w:rsidRDefault="00A720F6" w:rsidP="00BB6EB8">
      <w:r>
        <w:separator/>
      </w:r>
    </w:p>
  </w:endnote>
  <w:endnote w:type="continuationSeparator" w:id="0">
    <w:p w14:paraId="4FC797B7" w14:textId="77777777" w:rsidR="00A720F6" w:rsidRDefault="00A720F6" w:rsidP="00BB6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Light">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ADE0" w14:textId="77777777" w:rsidR="00A720F6" w:rsidRDefault="00A720F6" w:rsidP="00BB6EB8">
      <w:r>
        <w:separator/>
      </w:r>
    </w:p>
  </w:footnote>
  <w:footnote w:type="continuationSeparator" w:id="0">
    <w:p w14:paraId="06D0D962" w14:textId="77777777" w:rsidR="00A720F6" w:rsidRDefault="00A720F6" w:rsidP="00BB6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444884"/>
      <w:docPartObj>
        <w:docPartGallery w:val="Page Numbers (Top of Page)"/>
        <w:docPartUnique/>
      </w:docPartObj>
    </w:sdtPr>
    <w:sdtEndPr/>
    <w:sdtContent>
      <w:p w14:paraId="500B497F" w14:textId="584FBB13" w:rsidR="00BB6EB8" w:rsidRDefault="00BB6EB8">
        <w:pPr>
          <w:pStyle w:val="En-tte"/>
          <w:jc w:val="right"/>
        </w:pPr>
        <w:r>
          <w:fldChar w:fldCharType="begin"/>
        </w:r>
        <w:r>
          <w:instrText>PAGE   \* MERGEFORMAT</w:instrText>
        </w:r>
        <w:r>
          <w:fldChar w:fldCharType="separate"/>
        </w:r>
        <w:r>
          <w:t>2</w:t>
        </w:r>
        <w:r>
          <w:fldChar w:fldCharType="end"/>
        </w:r>
      </w:p>
    </w:sdtContent>
  </w:sdt>
  <w:p w14:paraId="0A0D1C07" w14:textId="007F7021" w:rsidR="00BB6EB8" w:rsidRDefault="00BB6EB8" w:rsidP="00BB6EB8">
    <w:pPr>
      <w:spacing w:line="256" w:lineRule="auto"/>
      <w:ind w:left="306" w:right="-104" w:hanging="220"/>
    </w:pPr>
    <w:r>
      <w:rPr>
        <w:b/>
        <w:bCs/>
      </w:rPr>
      <w:t>N° 1900303</w:t>
    </w:r>
  </w:p>
  <w:p w14:paraId="31FCFA8E" w14:textId="77777777" w:rsidR="00BB6EB8" w:rsidRDefault="00BB6E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4153"/>
    <w:multiLevelType w:val="hybridMultilevel"/>
    <w:tmpl w:val="34C6E280"/>
    <w:lvl w:ilvl="0" w:tplc="4E103A7C">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DC5"/>
    <w:rsid w:val="00032BA3"/>
    <w:rsid w:val="00074024"/>
    <w:rsid w:val="00093426"/>
    <w:rsid w:val="000953AC"/>
    <w:rsid w:val="000A6F47"/>
    <w:rsid w:val="000D3780"/>
    <w:rsid w:val="00112547"/>
    <w:rsid w:val="00121B01"/>
    <w:rsid w:val="00164154"/>
    <w:rsid w:val="00184A39"/>
    <w:rsid w:val="001928A3"/>
    <w:rsid w:val="001C667F"/>
    <w:rsid w:val="001D6B4D"/>
    <w:rsid w:val="001F44B5"/>
    <w:rsid w:val="002145F6"/>
    <w:rsid w:val="00245950"/>
    <w:rsid w:val="00250DC5"/>
    <w:rsid w:val="0025199B"/>
    <w:rsid w:val="00265E64"/>
    <w:rsid w:val="00287989"/>
    <w:rsid w:val="002D06EF"/>
    <w:rsid w:val="002D0D57"/>
    <w:rsid w:val="00317583"/>
    <w:rsid w:val="00325686"/>
    <w:rsid w:val="003335A3"/>
    <w:rsid w:val="00360585"/>
    <w:rsid w:val="003876C9"/>
    <w:rsid w:val="003A34F4"/>
    <w:rsid w:val="003C66FE"/>
    <w:rsid w:val="003D1EAD"/>
    <w:rsid w:val="003D3BD3"/>
    <w:rsid w:val="00422B31"/>
    <w:rsid w:val="00430AB1"/>
    <w:rsid w:val="00475375"/>
    <w:rsid w:val="004F1F63"/>
    <w:rsid w:val="004F58ED"/>
    <w:rsid w:val="005411C8"/>
    <w:rsid w:val="00561724"/>
    <w:rsid w:val="00577A56"/>
    <w:rsid w:val="005B62E8"/>
    <w:rsid w:val="006036DC"/>
    <w:rsid w:val="0062222F"/>
    <w:rsid w:val="00652AFB"/>
    <w:rsid w:val="006817BC"/>
    <w:rsid w:val="00685DE1"/>
    <w:rsid w:val="006920C9"/>
    <w:rsid w:val="006B769C"/>
    <w:rsid w:val="006C117E"/>
    <w:rsid w:val="006E3063"/>
    <w:rsid w:val="00716757"/>
    <w:rsid w:val="00725401"/>
    <w:rsid w:val="00744BD9"/>
    <w:rsid w:val="00791696"/>
    <w:rsid w:val="007A3877"/>
    <w:rsid w:val="007B2409"/>
    <w:rsid w:val="007C1EDF"/>
    <w:rsid w:val="007C25F6"/>
    <w:rsid w:val="007F759F"/>
    <w:rsid w:val="00814F72"/>
    <w:rsid w:val="008363E8"/>
    <w:rsid w:val="00861921"/>
    <w:rsid w:val="0087674A"/>
    <w:rsid w:val="0088735A"/>
    <w:rsid w:val="008B294E"/>
    <w:rsid w:val="008C6336"/>
    <w:rsid w:val="008E6510"/>
    <w:rsid w:val="00927F84"/>
    <w:rsid w:val="009457CA"/>
    <w:rsid w:val="00980FED"/>
    <w:rsid w:val="009A0CE6"/>
    <w:rsid w:val="009B7368"/>
    <w:rsid w:val="009F71C2"/>
    <w:rsid w:val="00A07EA5"/>
    <w:rsid w:val="00A32977"/>
    <w:rsid w:val="00A720F6"/>
    <w:rsid w:val="00A75F2E"/>
    <w:rsid w:val="00AB1C34"/>
    <w:rsid w:val="00AF6C3D"/>
    <w:rsid w:val="00B25092"/>
    <w:rsid w:val="00B5349A"/>
    <w:rsid w:val="00B53DD6"/>
    <w:rsid w:val="00BB490F"/>
    <w:rsid w:val="00BB6EB8"/>
    <w:rsid w:val="00C27FD4"/>
    <w:rsid w:val="00CC39EC"/>
    <w:rsid w:val="00D210C0"/>
    <w:rsid w:val="00D37CCB"/>
    <w:rsid w:val="00D53536"/>
    <w:rsid w:val="00D56EC2"/>
    <w:rsid w:val="00D90E4D"/>
    <w:rsid w:val="00E0089A"/>
    <w:rsid w:val="00E8469D"/>
    <w:rsid w:val="00F0128F"/>
    <w:rsid w:val="00F37DFB"/>
    <w:rsid w:val="00FA09A7"/>
    <w:rsid w:val="00FC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60ECF"/>
  <w15:chartTrackingRefBased/>
  <w15:docId w15:val="{F96727E8-0DA3-477C-9F65-C1704177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DC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semiHidden/>
    <w:unhideWhenUsed/>
    <w:qFormat/>
    <w:rsid w:val="00250DC5"/>
    <w:pPr>
      <w:keepNext/>
      <w:ind w:right="-104"/>
      <w:outlineLvl w:val="2"/>
    </w:pPr>
    <w:rPr>
      <w:b/>
      <w:bCs/>
    </w:rPr>
  </w:style>
  <w:style w:type="paragraph" w:styleId="Titre4">
    <w:name w:val="heading 4"/>
    <w:basedOn w:val="Normal"/>
    <w:next w:val="Normal"/>
    <w:link w:val="Titre4Car"/>
    <w:semiHidden/>
    <w:unhideWhenUsed/>
    <w:qFormat/>
    <w:rsid w:val="00250DC5"/>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250DC5"/>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250DC5"/>
    <w:rPr>
      <w:rFonts w:ascii="Times New Roman" w:eastAsia="Times New Roman" w:hAnsi="Times New Roman" w:cs="Times New Roman"/>
      <w:b/>
      <w:bCs/>
      <w:sz w:val="24"/>
      <w:szCs w:val="24"/>
    </w:rPr>
  </w:style>
  <w:style w:type="character" w:styleId="Lienhypertexte">
    <w:name w:val="Hyperlink"/>
    <w:basedOn w:val="Policepardfaut"/>
    <w:uiPriority w:val="99"/>
    <w:semiHidden/>
    <w:unhideWhenUsed/>
    <w:rsid w:val="00250DC5"/>
    <w:rPr>
      <w:color w:val="0000FF"/>
      <w:u w:val="single"/>
    </w:rPr>
  </w:style>
  <w:style w:type="paragraph" w:styleId="NormalWeb">
    <w:name w:val="Normal (Web)"/>
    <w:basedOn w:val="Normal"/>
    <w:uiPriority w:val="99"/>
    <w:semiHidden/>
    <w:unhideWhenUsed/>
    <w:rsid w:val="00250DC5"/>
    <w:pPr>
      <w:widowControl/>
      <w:autoSpaceDE/>
      <w:autoSpaceDN/>
      <w:adjustRightInd/>
      <w:spacing w:before="100" w:beforeAutospacing="1" w:after="100" w:afterAutospacing="1"/>
    </w:pPr>
    <w:rPr>
      <w:lang w:eastAsia="fr-FR"/>
    </w:rPr>
  </w:style>
  <w:style w:type="paragraph" w:styleId="En-tte">
    <w:name w:val="header"/>
    <w:basedOn w:val="Normal"/>
    <w:link w:val="En-tteCar"/>
    <w:uiPriority w:val="99"/>
    <w:unhideWhenUsed/>
    <w:rsid w:val="00250DC5"/>
    <w:pPr>
      <w:tabs>
        <w:tab w:val="center" w:pos="4536"/>
        <w:tab w:val="right" w:pos="9072"/>
      </w:tabs>
    </w:pPr>
  </w:style>
  <w:style w:type="character" w:customStyle="1" w:styleId="En-tteCar">
    <w:name w:val="En-tête Car"/>
    <w:basedOn w:val="Policepardfaut"/>
    <w:link w:val="En-tte"/>
    <w:uiPriority w:val="99"/>
    <w:rsid w:val="00250DC5"/>
    <w:rPr>
      <w:rFonts w:ascii="Times New Roman" w:eastAsia="Times New Roman" w:hAnsi="Times New Roman" w:cs="Times New Roman"/>
      <w:sz w:val="24"/>
      <w:szCs w:val="24"/>
    </w:rPr>
  </w:style>
  <w:style w:type="paragraph" w:styleId="Retraitcorpsdetexte">
    <w:name w:val="Body Text Indent"/>
    <w:basedOn w:val="Normal"/>
    <w:link w:val="RetraitcorpsdetexteCar"/>
    <w:uiPriority w:val="99"/>
    <w:semiHidden/>
    <w:unhideWhenUsed/>
    <w:rsid w:val="00250DC5"/>
    <w:pPr>
      <w:widowControl/>
      <w:tabs>
        <w:tab w:val="left" w:pos="2757"/>
        <w:tab w:val="left" w:pos="3240"/>
        <w:tab w:val="left" w:pos="3960"/>
        <w:tab w:val="left" w:pos="4680"/>
        <w:tab w:val="left" w:pos="5400"/>
        <w:tab w:val="left" w:pos="6120"/>
        <w:tab w:val="left" w:pos="6840"/>
        <w:tab w:val="left" w:pos="7560"/>
        <w:tab w:val="left" w:pos="8280"/>
        <w:tab w:val="left" w:pos="9000"/>
      </w:tabs>
      <w:autoSpaceDE/>
      <w:autoSpaceDN/>
      <w:adjustRightInd/>
      <w:spacing w:line="288" w:lineRule="exact"/>
      <w:ind w:left="1168" w:firstLine="1950"/>
      <w:jc w:val="both"/>
    </w:pPr>
    <w:rPr>
      <w:lang w:eastAsia="fr-FR"/>
    </w:rPr>
  </w:style>
  <w:style w:type="character" w:customStyle="1" w:styleId="RetraitcorpsdetexteCar">
    <w:name w:val="Retrait corps de texte Car"/>
    <w:basedOn w:val="Policepardfaut"/>
    <w:link w:val="Retraitcorpsdetexte"/>
    <w:uiPriority w:val="99"/>
    <w:semiHidden/>
    <w:rsid w:val="00250DC5"/>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250DC5"/>
    <w:pPr>
      <w:ind w:left="708"/>
    </w:pPr>
  </w:style>
  <w:style w:type="paragraph" w:customStyle="1" w:styleId="Normal1">
    <w:name w:val="Normal1"/>
    <w:basedOn w:val="Normal"/>
    <w:uiPriority w:val="99"/>
    <w:rsid w:val="00250DC5"/>
    <w:pPr>
      <w:widowControl/>
      <w:autoSpaceDE/>
      <w:autoSpaceDN/>
      <w:adjustRightInd/>
      <w:spacing w:before="100" w:beforeAutospacing="1" w:after="100" w:afterAutospacing="1"/>
    </w:pPr>
    <w:rPr>
      <w:lang w:eastAsia="fr-FR"/>
    </w:rPr>
  </w:style>
  <w:style w:type="character" w:customStyle="1" w:styleId="fontstyle01">
    <w:name w:val="fontstyle01"/>
    <w:basedOn w:val="Policepardfaut"/>
    <w:rsid w:val="00250DC5"/>
    <w:rPr>
      <w:rFonts w:ascii="Georgia" w:hAnsi="Georgia" w:hint="default"/>
      <w:b w:val="0"/>
      <w:bCs w:val="0"/>
      <w:i w:val="0"/>
      <w:iCs w:val="0"/>
      <w:color w:val="000000"/>
      <w:sz w:val="22"/>
      <w:szCs w:val="22"/>
    </w:rPr>
  </w:style>
  <w:style w:type="character" w:customStyle="1" w:styleId="normal--char">
    <w:name w:val="normal--char"/>
    <w:basedOn w:val="Policepardfaut"/>
    <w:rsid w:val="00250DC5"/>
  </w:style>
  <w:style w:type="character" w:customStyle="1" w:styleId="matchlocations">
    <w:name w:val="matchlocations"/>
    <w:basedOn w:val="Policepardfaut"/>
    <w:rsid w:val="00250DC5"/>
  </w:style>
  <w:style w:type="character" w:styleId="Marquedecommentaire">
    <w:name w:val="annotation reference"/>
    <w:basedOn w:val="Policepardfaut"/>
    <w:uiPriority w:val="99"/>
    <w:semiHidden/>
    <w:unhideWhenUsed/>
    <w:rsid w:val="00B25092"/>
    <w:rPr>
      <w:sz w:val="16"/>
      <w:szCs w:val="16"/>
    </w:rPr>
  </w:style>
  <w:style w:type="paragraph" w:styleId="Commentaire">
    <w:name w:val="annotation text"/>
    <w:basedOn w:val="Normal"/>
    <w:link w:val="CommentaireCar"/>
    <w:uiPriority w:val="99"/>
    <w:semiHidden/>
    <w:unhideWhenUsed/>
    <w:rsid w:val="00B25092"/>
    <w:rPr>
      <w:sz w:val="20"/>
      <w:szCs w:val="20"/>
    </w:rPr>
  </w:style>
  <w:style w:type="character" w:customStyle="1" w:styleId="CommentaireCar">
    <w:name w:val="Commentaire Car"/>
    <w:basedOn w:val="Policepardfaut"/>
    <w:link w:val="Commentaire"/>
    <w:uiPriority w:val="99"/>
    <w:semiHidden/>
    <w:rsid w:val="00B25092"/>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B25092"/>
    <w:rPr>
      <w:b/>
      <w:bCs/>
    </w:rPr>
  </w:style>
  <w:style w:type="character" w:customStyle="1" w:styleId="ObjetducommentaireCar">
    <w:name w:val="Objet du commentaire Car"/>
    <w:basedOn w:val="CommentaireCar"/>
    <w:link w:val="Objetducommentaire"/>
    <w:uiPriority w:val="99"/>
    <w:semiHidden/>
    <w:rsid w:val="00B25092"/>
    <w:rPr>
      <w:rFonts w:ascii="Times New Roman" w:eastAsia="Times New Roman" w:hAnsi="Times New Roman" w:cs="Times New Roman"/>
      <w:b/>
      <w:bCs/>
      <w:sz w:val="20"/>
      <w:szCs w:val="20"/>
    </w:rPr>
  </w:style>
  <w:style w:type="paragraph" w:styleId="Rvision">
    <w:name w:val="Revision"/>
    <w:hidden/>
    <w:uiPriority w:val="99"/>
    <w:semiHidden/>
    <w:rsid w:val="00B25092"/>
    <w:pPr>
      <w:spacing w:after="0" w:line="240" w:lineRule="auto"/>
    </w:pPr>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BB6EB8"/>
    <w:pPr>
      <w:tabs>
        <w:tab w:val="center" w:pos="4536"/>
        <w:tab w:val="right" w:pos="9072"/>
      </w:tabs>
    </w:pPr>
  </w:style>
  <w:style w:type="character" w:customStyle="1" w:styleId="PieddepageCar">
    <w:name w:val="Pied de page Car"/>
    <w:basedOn w:val="Policepardfaut"/>
    <w:link w:val="Pieddepage"/>
    <w:uiPriority w:val="99"/>
    <w:rsid w:val="00BB6EB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951911">
      <w:bodyDiv w:val="1"/>
      <w:marLeft w:val="0"/>
      <w:marRight w:val="0"/>
      <w:marTop w:val="0"/>
      <w:marBottom w:val="0"/>
      <w:divBdr>
        <w:top w:val="none" w:sz="0" w:space="0" w:color="auto"/>
        <w:left w:val="none" w:sz="0" w:space="0" w:color="auto"/>
        <w:bottom w:val="none" w:sz="0" w:space="0" w:color="auto"/>
        <w:right w:val="none" w:sz="0" w:space="0" w:color="auto"/>
      </w:divBdr>
    </w:div>
    <w:div w:id="905258630">
      <w:bodyDiv w:val="1"/>
      <w:marLeft w:val="0"/>
      <w:marRight w:val="0"/>
      <w:marTop w:val="0"/>
      <w:marBottom w:val="0"/>
      <w:divBdr>
        <w:top w:val="none" w:sz="0" w:space="0" w:color="auto"/>
        <w:left w:val="none" w:sz="0" w:space="0" w:color="auto"/>
        <w:bottom w:val="none" w:sz="0" w:space="0" w:color="auto"/>
        <w:right w:val="none" w:sz="0" w:space="0" w:color="auto"/>
      </w:divBdr>
    </w:div>
    <w:div w:id="1134366287">
      <w:bodyDiv w:val="1"/>
      <w:marLeft w:val="0"/>
      <w:marRight w:val="0"/>
      <w:marTop w:val="0"/>
      <w:marBottom w:val="0"/>
      <w:divBdr>
        <w:top w:val="none" w:sz="0" w:space="0" w:color="auto"/>
        <w:left w:val="none" w:sz="0" w:space="0" w:color="auto"/>
        <w:bottom w:val="none" w:sz="0" w:space="0" w:color="auto"/>
        <w:right w:val="none" w:sz="0" w:space="0" w:color="auto"/>
      </w:divBdr>
    </w:div>
    <w:div w:id="1278415576">
      <w:bodyDiv w:val="1"/>
      <w:marLeft w:val="0"/>
      <w:marRight w:val="0"/>
      <w:marTop w:val="0"/>
      <w:marBottom w:val="0"/>
      <w:divBdr>
        <w:top w:val="none" w:sz="0" w:space="0" w:color="auto"/>
        <w:left w:val="none" w:sz="0" w:space="0" w:color="auto"/>
        <w:bottom w:val="none" w:sz="0" w:space="0" w:color="auto"/>
        <w:right w:val="none" w:sz="0" w:space="0" w:color="auto"/>
      </w:divBdr>
    </w:div>
    <w:div w:id="1416171153">
      <w:bodyDiv w:val="1"/>
      <w:marLeft w:val="0"/>
      <w:marRight w:val="0"/>
      <w:marTop w:val="0"/>
      <w:marBottom w:val="0"/>
      <w:divBdr>
        <w:top w:val="none" w:sz="0" w:space="0" w:color="auto"/>
        <w:left w:val="none" w:sz="0" w:space="0" w:color="auto"/>
        <w:bottom w:val="none" w:sz="0" w:space="0" w:color="auto"/>
        <w:right w:val="none" w:sz="0" w:space="0" w:color="auto"/>
      </w:divBdr>
    </w:div>
    <w:div w:id="1508446730">
      <w:bodyDiv w:val="1"/>
      <w:marLeft w:val="0"/>
      <w:marRight w:val="0"/>
      <w:marTop w:val="0"/>
      <w:marBottom w:val="0"/>
      <w:divBdr>
        <w:top w:val="none" w:sz="0" w:space="0" w:color="auto"/>
        <w:left w:val="none" w:sz="0" w:space="0" w:color="auto"/>
        <w:bottom w:val="none" w:sz="0" w:space="0" w:color="auto"/>
        <w:right w:val="none" w:sz="0" w:space="0" w:color="auto"/>
      </w:divBdr>
    </w:div>
    <w:div w:id="172008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2656</Words>
  <Characters>14612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cp:lastPrinted>2025-02-26T07:27:00Z</cp:lastPrinted>
  <dcterms:created xsi:type="dcterms:W3CDTF">2025-03-04T04:45:00Z</dcterms:created>
  <dcterms:modified xsi:type="dcterms:W3CDTF">2025-03-04T04:45:00Z</dcterms:modified>
</cp:coreProperties>
</file>